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BE" w:rsidRPr="005A76D7" w:rsidRDefault="00330EBE" w:rsidP="00330EBE">
      <w:pPr>
        <w:widowControl/>
        <w:shd w:val="clear" w:color="auto" w:fill="FFFFFF"/>
        <w:wordWrap w:val="0"/>
        <w:spacing w:before="300" w:after="150"/>
        <w:jc w:val="center"/>
        <w:outlineLvl w:val="0"/>
        <w:rPr>
          <w:rFonts w:ascii="Microsoft Yahei" w:eastAsia="宋体" w:hAnsi="Microsoft Yahei" w:cs="宋体" w:hint="eastAsia"/>
          <w:b/>
          <w:bCs/>
          <w:color w:val="000000" w:themeColor="text1"/>
          <w:spacing w:val="30"/>
          <w:kern w:val="36"/>
          <w:sz w:val="36"/>
          <w:szCs w:val="36"/>
        </w:rPr>
      </w:pPr>
      <w:r w:rsidRPr="005A76D7">
        <w:rPr>
          <w:rFonts w:ascii="Microsoft Yahei" w:eastAsia="宋体" w:hAnsi="Microsoft Yahei" w:cs="宋体"/>
          <w:b/>
          <w:bCs/>
          <w:color w:val="000000" w:themeColor="text1"/>
          <w:spacing w:val="30"/>
          <w:kern w:val="36"/>
          <w:sz w:val="36"/>
          <w:szCs w:val="36"/>
        </w:rPr>
        <w:t>国家税务总局公告</w:t>
      </w:r>
      <w:r w:rsidRPr="005A76D7">
        <w:rPr>
          <w:rFonts w:ascii="Microsoft Yahei" w:eastAsia="宋体" w:hAnsi="Microsoft Yahei" w:cs="宋体"/>
          <w:b/>
          <w:bCs/>
          <w:color w:val="000000" w:themeColor="text1"/>
          <w:spacing w:val="30"/>
          <w:kern w:val="36"/>
          <w:sz w:val="36"/>
          <w:szCs w:val="36"/>
        </w:rPr>
        <w:t>2018</w:t>
      </w:r>
      <w:r w:rsidRPr="005A76D7">
        <w:rPr>
          <w:rFonts w:ascii="Microsoft Yahei" w:eastAsia="宋体" w:hAnsi="Microsoft Yahei" w:cs="宋体"/>
          <w:b/>
          <w:bCs/>
          <w:color w:val="000000" w:themeColor="text1"/>
          <w:spacing w:val="30"/>
          <w:kern w:val="36"/>
          <w:sz w:val="36"/>
          <w:szCs w:val="36"/>
        </w:rPr>
        <w:t>年第</w:t>
      </w:r>
      <w:r w:rsidRPr="005A76D7">
        <w:rPr>
          <w:rFonts w:ascii="Microsoft Yahei" w:eastAsia="宋体" w:hAnsi="Microsoft Yahei" w:cs="宋体"/>
          <w:b/>
          <w:bCs/>
          <w:color w:val="000000" w:themeColor="text1"/>
          <w:spacing w:val="30"/>
          <w:kern w:val="36"/>
          <w:sz w:val="36"/>
          <w:szCs w:val="36"/>
        </w:rPr>
        <w:t>56</w:t>
      </w:r>
      <w:r w:rsidRPr="005A76D7">
        <w:rPr>
          <w:rFonts w:ascii="Microsoft Yahei" w:eastAsia="宋体" w:hAnsi="Microsoft Yahei" w:cs="宋体"/>
          <w:b/>
          <w:bCs/>
          <w:color w:val="000000" w:themeColor="text1"/>
          <w:spacing w:val="30"/>
          <w:kern w:val="36"/>
          <w:sz w:val="36"/>
          <w:szCs w:val="36"/>
        </w:rPr>
        <w:t>号</w:t>
      </w:r>
      <w:r w:rsidRPr="005A76D7">
        <w:rPr>
          <w:rFonts w:ascii="Microsoft Yahei" w:eastAsia="宋体" w:hAnsi="Microsoft Yahei" w:cs="宋体"/>
          <w:b/>
          <w:bCs/>
          <w:color w:val="000000" w:themeColor="text1"/>
          <w:spacing w:val="30"/>
          <w:kern w:val="36"/>
          <w:sz w:val="36"/>
          <w:szCs w:val="36"/>
        </w:rPr>
        <w:t xml:space="preserve"> </w:t>
      </w:r>
      <w:r w:rsidRPr="005A76D7">
        <w:rPr>
          <w:rFonts w:ascii="Microsoft Yahei" w:eastAsia="宋体" w:hAnsi="Microsoft Yahei" w:cs="宋体"/>
          <w:b/>
          <w:bCs/>
          <w:color w:val="000000" w:themeColor="text1"/>
          <w:spacing w:val="30"/>
          <w:kern w:val="36"/>
          <w:sz w:val="36"/>
          <w:szCs w:val="36"/>
        </w:rPr>
        <w:t>国家税务总局关于全面实施新个人所得税法若干征管衔接问题的公告</w:t>
      </w:r>
    </w:p>
    <w:p w:rsidR="00330EBE" w:rsidRPr="005A76D7" w:rsidRDefault="00330EBE" w:rsidP="00330EBE">
      <w:pPr>
        <w:widowControl/>
        <w:shd w:val="clear" w:color="auto" w:fill="FFFFFF"/>
        <w:wordWrap w:val="0"/>
        <w:spacing w:before="150" w:after="375" w:line="375" w:lineRule="atLeast"/>
        <w:jc w:val="center"/>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国家税务总局关于全面实施新个人所得税法若干征管衔接问题的公告</w:t>
      </w:r>
    </w:p>
    <w:p w:rsidR="00330EBE" w:rsidRPr="005A76D7" w:rsidRDefault="00330EBE" w:rsidP="00330EBE">
      <w:pPr>
        <w:widowControl/>
        <w:shd w:val="clear" w:color="auto" w:fill="FFFFFF"/>
        <w:wordWrap w:val="0"/>
        <w:spacing w:before="150" w:after="375" w:line="375" w:lineRule="atLeast"/>
        <w:jc w:val="center"/>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国家税务总局公告</w:t>
      </w:r>
      <w:r w:rsidRPr="005A76D7">
        <w:rPr>
          <w:rFonts w:ascii="Microsoft Yahei" w:eastAsia="宋体" w:hAnsi="Microsoft Yahei" w:cs="宋体"/>
          <w:color w:val="000000" w:themeColor="text1"/>
          <w:kern w:val="0"/>
          <w:sz w:val="24"/>
          <w:szCs w:val="24"/>
        </w:rPr>
        <w:t>2018</w:t>
      </w:r>
      <w:r w:rsidRPr="005A76D7">
        <w:rPr>
          <w:rFonts w:ascii="Microsoft Yahei" w:eastAsia="宋体" w:hAnsi="Microsoft Yahei" w:cs="宋体"/>
          <w:color w:val="000000" w:themeColor="text1"/>
          <w:kern w:val="0"/>
          <w:sz w:val="24"/>
          <w:szCs w:val="24"/>
        </w:rPr>
        <w:t>年第</w:t>
      </w:r>
      <w:r w:rsidRPr="005A76D7">
        <w:rPr>
          <w:rFonts w:ascii="Microsoft Yahei" w:eastAsia="宋体" w:hAnsi="Microsoft Yahei" w:cs="宋体"/>
          <w:color w:val="000000" w:themeColor="text1"/>
          <w:kern w:val="0"/>
          <w:sz w:val="24"/>
          <w:szCs w:val="24"/>
        </w:rPr>
        <w:t>56</w:t>
      </w:r>
      <w:r w:rsidRPr="005A76D7">
        <w:rPr>
          <w:rFonts w:ascii="Microsoft Yahei" w:eastAsia="宋体" w:hAnsi="Microsoft Yahei" w:cs="宋体"/>
          <w:color w:val="000000" w:themeColor="text1"/>
          <w:kern w:val="0"/>
          <w:sz w:val="24"/>
          <w:szCs w:val="24"/>
        </w:rPr>
        <w:t>号</w:t>
      </w:r>
      <w:r w:rsidRPr="005A76D7">
        <w:rPr>
          <w:rFonts w:ascii="Microsoft Yahei" w:eastAsia="宋体" w:hAnsi="Microsoft Yahei" w:cs="宋体"/>
          <w:color w:val="000000" w:themeColor="text1"/>
          <w:kern w:val="0"/>
          <w:sz w:val="24"/>
          <w:szCs w:val="24"/>
        </w:rPr>
        <w:t>    2018.12.19</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为贯彻落实新修改的《</w:t>
      </w:r>
      <w:hyperlink r:id="rId5" w:tgtFrame="_blank" w:history="1">
        <w:r w:rsidRPr="005A76D7">
          <w:rPr>
            <w:rFonts w:ascii="Microsoft Yahei" w:eastAsia="宋体" w:hAnsi="Microsoft Yahei" w:cs="宋体"/>
            <w:color w:val="000000" w:themeColor="text1"/>
            <w:kern w:val="0"/>
            <w:sz w:val="24"/>
            <w:szCs w:val="24"/>
          </w:rPr>
          <w:t>中华人民共和国个人所得税法</w:t>
        </w:r>
      </w:hyperlink>
      <w:r w:rsidRPr="005A76D7">
        <w:rPr>
          <w:rFonts w:ascii="Microsoft Yahei" w:eastAsia="宋体" w:hAnsi="Microsoft Yahei" w:cs="宋体"/>
          <w:color w:val="000000" w:themeColor="text1"/>
          <w:kern w:val="0"/>
          <w:sz w:val="24"/>
          <w:szCs w:val="24"/>
        </w:rPr>
        <w:t>》（以下简称</w:t>
      </w:r>
      <w:r w:rsidRPr="005A76D7">
        <w:rPr>
          <w:rFonts w:ascii="Microsoft Yahei" w:eastAsia="宋体" w:hAnsi="Microsoft Yahei" w:cs="宋体"/>
          <w:color w:val="000000" w:themeColor="text1"/>
          <w:kern w:val="0"/>
          <w:sz w:val="24"/>
          <w:szCs w:val="24"/>
        </w:rPr>
        <w:t>“</w:t>
      </w:r>
      <w:hyperlink r:id="rId6" w:tgtFrame="_blank" w:history="1">
        <w:r w:rsidRPr="005A76D7">
          <w:rPr>
            <w:rFonts w:ascii="Microsoft Yahei" w:eastAsia="宋体" w:hAnsi="Microsoft Yahei" w:cs="宋体"/>
            <w:color w:val="000000" w:themeColor="text1"/>
            <w:kern w:val="0"/>
            <w:sz w:val="24"/>
            <w:szCs w:val="24"/>
          </w:rPr>
          <w:t>新个人所得税法</w:t>
        </w:r>
      </w:hyperlink>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），现就全面实施</w:t>
      </w:r>
      <w:hyperlink r:id="rId7" w:tgtFrame="_blank" w:history="1">
        <w:r w:rsidRPr="005A76D7">
          <w:rPr>
            <w:rFonts w:ascii="Microsoft Yahei" w:eastAsia="宋体" w:hAnsi="Microsoft Yahei" w:cs="宋体"/>
            <w:color w:val="000000" w:themeColor="text1"/>
            <w:kern w:val="0"/>
            <w:sz w:val="24"/>
            <w:szCs w:val="24"/>
          </w:rPr>
          <w:t>新个人所得税法</w:t>
        </w:r>
      </w:hyperlink>
      <w:r w:rsidRPr="005A76D7">
        <w:rPr>
          <w:rFonts w:ascii="Microsoft Yahei" w:eastAsia="宋体" w:hAnsi="Microsoft Yahei" w:cs="宋体"/>
          <w:color w:val="000000" w:themeColor="text1"/>
          <w:kern w:val="0"/>
          <w:sz w:val="24"/>
          <w:szCs w:val="24"/>
        </w:rPr>
        <w:t>后扣缴义务人对居民个人工资、薪金所得，劳务报酬所得，稿酬所得，特许权使用费所得预扣预缴个人所得税的计算方法，对非居民个人上述四项所得扣缴个人所得税的计算方法，公告如下：</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b/>
          <w:bCs/>
          <w:color w:val="000000" w:themeColor="text1"/>
          <w:kern w:val="0"/>
          <w:sz w:val="24"/>
          <w:szCs w:val="24"/>
        </w:rPr>
        <w:t>一、居民个人预扣预缴方法</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扣缴义务人向居民个人支付工资、薪金所得，劳务报酬所得，稿酬所得，特许权使用费所得时，按以下方法预扣预缴个人所得税，并向主管税务机关报送《个人所得税扣缴申报表》（见附件</w:t>
      </w:r>
      <w:r w:rsidRPr="005A76D7">
        <w:rPr>
          <w:rFonts w:ascii="Microsoft Yahei" w:eastAsia="宋体" w:hAnsi="Microsoft Yahei" w:cs="宋体"/>
          <w:color w:val="000000" w:themeColor="text1"/>
          <w:kern w:val="0"/>
          <w:sz w:val="24"/>
          <w:szCs w:val="24"/>
        </w:rPr>
        <w:t>1</w:t>
      </w:r>
      <w:r w:rsidRPr="005A76D7">
        <w:rPr>
          <w:rFonts w:ascii="Microsoft Yahei" w:eastAsia="宋体" w:hAnsi="Microsoft Yahei" w:cs="宋体"/>
          <w:color w:val="000000" w:themeColor="text1"/>
          <w:kern w:val="0"/>
          <w:sz w:val="24"/>
          <w:szCs w:val="24"/>
        </w:rPr>
        <w:t>）。</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年度</w:t>
      </w:r>
      <w:proofErr w:type="gramStart"/>
      <w:r w:rsidRPr="005A76D7">
        <w:rPr>
          <w:rFonts w:ascii="Microsoft Yahei" w:eastAsia="宋体" w:hAnsi="Microsoft Yahei" w:cs="宋体"/>
          <w:color w:val="000000" w:themeColor="text1"/>
          <w:kern w:val="0"/>
          <w:sz w:val="24"/>
          <w:szCs w:val="24"/>
        </w:rPr>
        <w:t>预扣预缴税</w:t>
      </w:r>
      <w:proofErr w:type="gramEnd"/>
      <w:r w:rsidRPr="005A76D7">
        <w:rPr>
          <w:rFonts w:ascii="Microsoft Yahei" w:eastAsia="宋体" w:hAnsi="Microsoft Yahei" w:cs="宋体"/>
          <w:color w:val="000000" w:themeColor="text1"/>
          <w:kern w:val="0"/>
          <w:sz w:val="24"/>
          <w:szCs w:val="24"/>
        </w:rPr>
        <w:t>额与年度应纳税额不一致的，由居民个人于次年</w:t>
      </w:r>
      <w:r w:rsidRPr="005A76D7">
        <w:rPr>
          <w:rFonts w:ascii="Microsoft Yahei" w:eastAsia="宋体" w:hAnsi="Microsoft Yahei" w:cs="宋体"/>
          <w:color w:val="000000" w:themeColor="text1"/>
          <w:kern w:val="0"/>
          <w:sz w:val="24"/>
          <w:szCs w:val="24"/>
        </w:rPr>
        <w:t>3</w:t>
      </w:r>
      <w:r w:rsidRPr="005A76D7">
        <w:rPr>
          <w:rFonts w:ascii="Microsoft Yahei" w:eastAsia="宋体" w:hAnsi="Microsoft Yahei" w:cs="宋体"/>
          <w:color w:val="000000" w:themeColor="text1"/>
          <w:kern w:val="0"/>
          <w:sz w:val="24"/>
          <w:szCs w:val="24"/>
        </w:rPr>
        <w:t>月</w:t>
      </w:r>
      <w:r w:rsidRPr="005A76D7">
        <w:rPr>
          <w:rFonts w:ascii="Microsoft Yahei" w:eastAsia="宋体" w:hAnsi="Microsoft Yahei" w:cs="宋体"/>
          <w:color w:val="000000" w:themeColor="text1"/>
          <w:kern w:val="0"/>
          <w:sz w:val="24"/>
          <w:szCs w:val="24"/>
        </w:rPr>
        <w:t>1</w:t>
      </w:r>
      <w:r w:rsidRPr="005A76D7">
        <w:rPr>
          <w:rFonts w:ascii="Microsoft Yahei" w:eastAsia="宋体" w:hAnsi="Microsoft Yahei" w:cs="宋体"/>
          <w:color w:val="000000" w:themeColor="text1"/>
          <w:kern w:val="0"/>
          <w:sz w:val="24"/>
          <w:szCs w:val="24"/>
        </w:rPr>
        <w:t>日至</w:t>
      </w:r>
      <w:r w:rsidRPr="005A76D7">
        <w:rPr>
          <w:rFonts w:ascii="Microsoft Yahei" w:eastAsia="宋体" w:hAnsi="Microsoft Yahei" w:cs="宋体"/>
          <w:color w:val="000000" w:themeColor="text1"/>
          <w:kern w:val="0"/>
          <w:sz w:val="24"/>
          <w:szCs w:val="24"/>
        </w:rPr>
        <w:t>6</w:t>
      </w:r>
      <w:r w:rsidRPr="005A76D7">
        <w:rPr>
          <w:rFonts w:ascii="Microsoft Yahei" w:eastAsia="宋体" w:hAnsi="Microsoft Yahei" w:cs="宋体"/>
          <w:color w:val="000000" w:themeColor="text1"/>
          <w:kern w:val="0"/>
          <w:sz w:val="24"/>
          <w:szCs w:val="24"/>
        </w:rPr>
        <w:t>月</w:t>
      </w:r>
      <w:r w:rsidRPr="005A76D7">
        <w:rPr>
          <w:rFonts w:ascii="Microsoft Yahei" w:eastAsia="宋体" w:hAnsi="Microsoft Yahei" w:cs="宋体"/>
          <w:color w:val="000000" w:themeColor="text1"/>
          <w:kern w:val="0"/>
          <w:sz w:val="24"/>
          <w:szCs w:val="24"/>
        </w:rPr>
        <w:t>30</w:t>
      </w:r>
      <w:r w:rsidRPr="005A76D7">
        <w:rPr>
          <w:rFonts w:ascii="Microsoft Yahei" w:eastAsia="宋体" w:hAnsi="Microsoft Yahei" w:cs="宋体"/>
          <w:color w:val="000000" w:themeColor="text1"/>
          <w:kern w:val="0"/>
          <w:sz w:val="24"/>
          <w:szCs w:val="24"/>
        </w:rPr>
        <w:t>日向主管税务机关办理综合所得年度汇算清缴，税款多退少补。</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（一）扣缴义务人向居民个人支付工资、薪金所得时，应当按照累计预扣法计算预扣税款，并按月办理全员全额扣缴申报。具体计算公式如下：</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本期应</w:t>
      </w:r>
      <w:proofErr w:type="gramStart"/>
      <w:r w:rsidRPr="005A76D7">
        <w:rPr>
          <w:rFonts w:ascii="Microsoft Yahei" w:eastAsia="宋体" w:hAnsi="Microsoft Yahei" w:cs="宋体"/>
          <w:color w:val="000000" w:themeColor="text1"/>
          <w:kern w:val="0"/>
          <w:sz w:val="24"/>
          <w:szCs w:val="24"/>
        </w:rPr>
        <w:t>预扣预缴税</w:t>
      </w:r>
      <w:proofErr w:type="gramEnd"/>
      <w:r w:rsidRPr="005A76D7">
        <w:rPr>
          <w:rFonts w:ascii="Microsoft Yahei" w:eastAsia="宋体" w:hAnsi="Microsoft Yahei" w:cs="宋体"/>
          <w:color w:val="000000" w:themeColor="text1"/>
          <w:kern w:val="0"/>
          <w:sz w:val="24"/>
          <w:szCs w:val="24"/>
        </w:rPr>
        <w:t>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（累计预扣预缴应纳税所得额</w:t>
      </w:r>
      <w:r w:rsidRPr="005A76D7">
        <w:rPr>
          <w:rFonts w:ascii="Microsoft Yahei" w:eastAsia="宋体" w:hAnsi="Microsoft Yahei" w:cs="宋体"/>
          <w:color w:val="000000" w:themeColor="text1"/>
          <w:kern w:val="0"/>
          <w:sz w:val="24"/>
          <w:szCs w:val="24"/>
        </w:rPr>
        <w:t>x</w:t>
      </w:r>
      <w:r w:rsidRPr="005A76D7">
        <w:rPr>
          <w:rFonts w:ascii="Microsoft Yahei" w:eastAsia="宋体" w:hAnsi="Microsoft Yahei" w:cs="宋体"/>
          <w:color w:val="000000" w:themeColor="text1"/>
          <w:kern w:val="0"/>
          <w:sz w:val="24"/>
          <w:szCs w:val="24"/>
        </w:rPr>
        <w:t>预扣率</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速算扣除数）</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累计减免税额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累计已</w:t>
      </w:r>
      <w:proofErr w:type="gramStart"/>
      <w:r w:rsidRPr="005A76D7">
        <w:rPr>
          <w:rFonts w:ascii="Microsoft Yahei" w:eastAsia="宋体" w:hAnsi="Microsoft Yahei" w:cs="宋体"/>
          <w:color w:val="000000" w:themeColor="text1"/>
          <w:kern w:val="0"/>
          <w:sz w:val="24"/>
          <w:szCs w:val="24"/>
        </w:rPr>
        <w:t>预扣预缴税</w:t>
      </w:r>
      <w:proofErr w:type="gramEnd"/>
      <w:r w:rsidRPr="005A76D7">
        <w:rPr>
          <w:rFonts w:ascii="Microsoft Yahei" w:eastAsia="宋体" w:hAnsi="Microsoft Yahei" w:cs="宋体"/>
          <w:color w:val="000000" w:themeColor="text1"/>
          <w:kern w:val="0"/>
          <w:sz w:val="24"/>
          <w:szCs w:val="24"/>
        </w:rPr>
        <w:t>额</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累计预扣预缴应纳税所得额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累计收入</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累计免税收入</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累计减除费用</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累计专项扣除</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累计专项附加扣除</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累计依法确定的其他扣除</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其中：累计减除费用，按照</w:t>
      </w:r>
      <w:r w:rsidRPr="005A76D7">
        <w:rPr>
          <w:rFonts w:ascii="Microsoft Yahei" w:eastAsia="宋体" w:hAnsi="Microsoft Yahei" w:cs="宋体"/>
          <w:color w:val="000000" w:themeColor="text1"/>
          <w:kern w:val="0"/>
          <w:sz w:val="24"/>
          <w:szCs w:val="24"/>
        </w:rPr>
        <w:t>5000</w:t>
      </w:r>
      <w:r w:rsidRPr="005A76D7">
        <w:rPr>
          <w:rFonts w:ascii="Microsoft Yahei" w:eastAsia="宋体" w:hAnsi="Microsoft Yahei" w:cs="宋体"/>
          <w:color w:val="000000" w:themeColor="text1"/>
          <w:kern w:val="0"/>
          <w:sz w:val="24"/>
          <w:szCs w:val="24"/>
        </w:rPr>
        <w:t>元</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月乘以纳税人当年截至本月在本单位的任职受雇月份数计算。</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lastRenderedPageBreak/>
        <w:t>上述公式中，计算居民个人工资、薪金所得</w:t>
      </w:r>
      <w:proofErr w:type="gramStart"/>
      <w:r w:rsidRPr="005A76D7">
        <w:rPr>
          <w:rFonts w:ascii="Microsoft Yahei" w:eastAsia="宋体" w:hAnsi="Microsoft Yahei" w:cs="宋体"/>
          <w:color w:val="000000" w:themeColor="text1"/>
          <w:kern w:val="0"/>
          <w:sz w:val="24"/>
          <w:szCs w:val="24"/>
        </w:rPr>
        <w:t>预扣预缴税</w:t>
      </w:r>
      <w:proofErr w:type="gramEnd"/>
      <w:r w:rsidRPr="005A76D7">
        <w:rPr>
          <w:rFonts w:ascii="Microsoft Yahei" w:eastAsia="宋体" w:hAnsi="Microsoft Yahei" w:cs="宋体"/>
          <w:color w:val="000000" w:themeColor="text1"/>
          <w:kern w:val="0"/>
          <w:sz w:val="24"/>
          <w:szCs w:val="24"/>
        </w:rPr>
        <w:t>额的预扣率、速算扣除数，按《个人所得税预扣率表一》（见附件</w:t>
      </w:r>
      <w:r w:rsidRPr="005A76D7">
        <w:rPr>
          <w:rFonts w:ascii="Microsoft Yahei" w:eastAsia="宋体" w:hAnsi="Microsoft Yahei" w:cs="宋体"/>
          <w:color w:val="000000" w:themeColor="text1"/>
          <w:kern w:val="0"/>
          <w:sz w:val="24"/>
          <w:szCs w:val="24"/>
        </w:rPr>
        <w:t>2</w:t>
      </w:r>
      <w:r w:rsidRPr="005A76D7">
        <w:rPr>
          <w:rFonts w:ascii="Microsoft Yahei" w:eastAsia="宋体" w:hAnsi="Microsoft Yahei" w:cs="宋体"/>
          <w:color w:val="000000" w:themeColor="text1"/>
          <w:kern w:val="0"/>
          <w:sz w:val="24"/>
          <w:szCs w:val="24"/>
        </w:rPr>
        <w:t>）执行。</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（二）扣缴义务人向居民个人支付劳务报酬所得、稿酬所得、特许权使用费所得，按次或者按月预扣预缴个人所得税。具体预扣预缴方法如下：</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劳务报酬所得、稿酬所得、特许权使用费所得以收入减除费用后的余额为收入额。其中，稿酬所得的</w:t>
      </w:r>
      <w:proofErr w:type="gramStart"/>
      <w:r w:rsidRPr="005A76D7">
        <w:rPr>
          <w:rFonts w:ascii="Microsoft Yahei" w:eastAsia="宋体" w:hAnsi="Microsoft Yahei" w:cs="宋体"/>
          <w:color w:val="000000" w:themeColor="text1"/>
          <w:kern w:val="0"/>
          <w:sz w:val="24"/>
          <w:szCs w:val="24"/>
        </w:rPr>
        <w:t>收入额减按</w:t>
      </w:r>
      <w:proofErr w:type="gramEnd"/>
      <w:r w:rsidRPr="005A76D7">
        <w:rPr>
          <w:rFonts w:ascii="Microsoft Yahei" w:eastAsia="宋体" w:hAnsi="Microsoft Yahei" w:cs="宋体"/>
          <w:color w:val="000000" w:themeColor="text1"/>
          <w:kern w:val="0"/>
          <w:sz w:val="24"/>
          <w:szCs w:val="24"/>
        </w:rPr>
        <w:t>百分之七十计算。</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减除费用：劳务报酬所得、稿酬所得、特许权使用费所得</w:t>
      </w:r>
      <w:proofErr w:type="gramStart"/>
      <w:r w:rsidRPr="005A76D7">
        <w:rPr>
          <w:rFonts w:ascii="Microsoft Yahei" w:eastAsia="宋体" w:hAnsi="Microsoft Yahei" w:cs="宋体"/>
          <w:color w:val="000000" w:themeColor="text1"/>
          <w:kern w:val="0"/>
          <w:sz w:val="24"/>
          <w:szCs w:val="24"/>
        </w:rPr>
        <w:t>毎</w:t>
      </w:r>
      <w:proofErr w:type="gramEnd"/>
      <w:r w:rsidRPr="005A76D7">
        <w:rPr>
          <w:rFonts w:ascii="Microsoft Yahei" w:eastAsia="宋体" w:hAnsi="Microsoft Yahei" w:cs="宋体"/>
          <w:color w:val="000000" w:themeColor="text1"/>
          <w:kern w:val="0"/>
          <w:sz w:val="24"/>
          <w:szCs w:val="24"/>
        </w:rPr>
        <w:t>次收入不超过四千元的，减除费用按八百元计算；</w:t>
      </w:r>
      <w:proofErr w:type="gramStart"/>
      <w:r w:rsidRPr="005A76D7">
        <w:rPr>
          <w:rFonts w:ascii="Microsoft Yahei" w:eastAsia="宋体" w:hAnsi="Microsoft Yahei" w:cs="宋体"/>
          <w:color w:val="000000" w:themeColor="text1"/>
          <w:kern w:val="0"/>
          <w:sz w:val="24"/>
          <w:szCs w:val="24"/>
        </w:rPr>
        <w:t>毎</w:t>
      </w:r>
      <w:proofErr w:type="gramEnd"/>
      <w:r w:rsidRPr="005A76D7">
        <w:rPr>
          <w:rFonts w:ascii="Microsoft Yahei" w:eastAsia="宋体" w:hAnsi="Microsoft Yahei" w:cs="宋体"/>
          <w:color w:val="000000" w:themeColor="text1"/>
          <w:kern w:val="0"/>
          <w:sz w:val="24"/>
          <w:szCs w:val="24"/>
        </w:rPr>
        <w:t>次收入四千元以上的，减除费用按百分之二十计算。</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应纳税所得额：劳务报酬所得、稿酬所得、特许权使用费所得，以每次收入额为预扣预缴应纳税所得额。劳务报酬所得适用百分之二十至百分之四十的超额累进预扣率（见附件</w:t>
      </w:r>
      <w:r w:rsidRPr="005A76D7">
        <w:rPr>
          <w:rFonts w:ascii="Microsoft Yahei" w:eastAsia="宋体" w:hAnsi="Microsoft Yahei" w:cs="宋体"/>
          <w:color w:val="000000" w:themeColor="text1"/>
          <w:kern w:val="0"/>
          <w:sz w:val="24"/>
          <w:szCs w:val="24"/>
        </w:rPr>
        <w:t>2</w:t>
      </w:r>
      <w:r w:rsidRPr="005A76D7">
        <w:rPr>
          <w:rFonts w:ascii="Microsoft Yahei" w:eastAsia="宋体" w:hAnsi="Microsoft Yahei" w:cs="宋体"/>
          <w:color w:val="000000" w:themeColor="text1"/>
          <w:kern w:val="0"/>
          <w:sz w:val="24"/>
          <w:szCs w:val="24"/>
        </w:rPr>
        <w:t>《个人所得税预扣率表二》），稿酬所得、特许权使用费所得适用百分之二十的比例预扣率。</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劳务报酬所得应</w:t>
      </w:r>
      <w:proofErr w:type="gramStart"/>
      <w:r w:rsidRPr="005A76D7">
        <w:rPr>
          <w:rFonts w:ascii="Microsoft Yahei" w:eastAsia="宋体" w:hAnsi="Microsoft Yahei" w:cs="宋体"/>
          <w:color w:val="000000" w:themeColor="text1"/>
          <w:kern w:val="0"/>
          <w:sz w:val="24"/>
          <w:szCs w:val="24"/>
        </w:rPr>
        <w:t>预扣预缴税</w:t>
      </w:r>
      <w:proofErr w:type="gramEnd"/>
      <w:r w:rsidRPr="005A76D7">
        <w:rPr>
          <w:rFonts w:ascii="Microsoft Yahei" w:eastAsia="宋体" w:hAnsi="Microsoft Yahei" w:cs="宋体"/>
          <w:color w:val="000000" w:themeColor="text1"/>
          <w:kern w:val="0"/>
          <w:sz w:val="24"/>
          <w:szCs w:val="24"/>
        </w:rPr>
        <w:t>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预扣预缴应纳税所得额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预扣率</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速算扣除数</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稿酬所得、特许权使用费所得应</w:t>
      </w:r>
      <w:proofErr w:type="gramStart"/>
      <w:r w:rsidRPr="005A76D7">
        <w:rPr>
          <w:rFonts w:ascii="Microsoft Yahei" w:eastAsia="宋体" w:hAnsi="Microsoft Yahei" w:cs="宋体"/>
          <w:color w:val="000000" w:themeColor="text1"/>
          <w:kern w:val="0"/>
          <w:sz w:val="24"/>
          <w:szCs w:val="24"/>
        </w:rPr>
        <w:t>预扣预缴税</w:t>
      </w:r>
      <w:proofErr w:type="gramEnd"/>
      <w:r w:rsidRPr="005A76D7">
        <w:rPr>
          <w:rFonts w:ascii="Microsoft Yahei" w:eastAsia="宋体" w:hAnsi="Microsoft Yahei" w:cs="宋体"/>
          <w:color w:val="000000" w:themeColor="text1"/>
          <w:kern w:val="0"/>
          <w:sz w:val="24"/>
          <w:szCs w:val="24"/>
        </w:rPr>
        <w:t>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预扣预缴应纳税所得额</w:t>
      </w:r>
      <w:r w:rsidRPr="005A76D7">
        <w:rPr>
          <w:rFonts w:ascii="Microsoft Yahei" w:eastAsia="宋体" w:hAnsi="Microsoft Yahei" w:cs="宋体"/>
          <w:color w:val="000000" w:themeColor="text1"/>
          <w:kern w:val="0"/>
          <w:sz w:val="24"/>
          <w:szCs w:val="24"/>
        </w:rPr>
        <w:t>×20%</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b/>
          <w:bCs/>
          <w:color w:val="000000" w:themeColor="text1"/>
          <w:kern w:val="0"/>
          <w:sz w:val="24"/>
          <w:szCs w:val="24"/>
        </w:rPr>
        <w:t>二、非居民个人扣缴方法</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扣缴义务人向非居民个人支付工资、薪金所得，劳务报酬所得，稿酬所得和特许权使用费所得时，应当按以下方法按月或者按次代扣代缴个人所得税：</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非居民个人的工资、薪金所得，以每月收入额减除费用五千元后的余额为应纳税所得额；劳务报酬所得、稿酬所得、特许权使用费所得，以每次收入额为应纳税所得额，适用按月换算后的非居民个人月度税率表（见附件</w:t>
      </w:r>
      <w:r w:rsidRPr="005A76D7">
        <w:rPr>
          <w:rFonts w:ascii="Microsoft Yahei" w:eastAsia="宋体" w:hAnsi="Microsoft Yahei" w:cs="宋体"/>
          <w:color w:val="000000" w:themeColor="text1"/>
          <w:kern w:val="0"/>
          <w:sz w:val="24"/>
          <w:szCs w:val="24"/>
        </w:rPr>
        <w:t>2</w:t>
      </w:r>
      <w:r w:rsidRPr="005A76D7">
        <w:rPr>
          <w:rFonts w:ascii="Microsoft Yahei" w:eastAsia="宋体" w:hAnsi="Microsoft Yahei" w:cs="宋体"/>
          <w:color w:val="000000" w:themeColor="text1"/>
          <w:kern w:val="0"/>
          <w:sz w:val="24"/>
          <w:szCs w:val="24"/>
        </w:rPr>
        <w:t>《个人所得税税率表三》）计算应纳税额。其中，劳务报酬所得、稿酬所得、特许权使用费所得以收入减除百分之二十的费用后的余额为收入额。稿酬所得的</w:t>
      </w:r>
      <w:proofErr w:type="gramStart"/>
      <w:r w:rsidRPr="005A76D7">
        <w:rPr>
          <w:rFonts w:ascii="Microsoft Yahei" w:eastAsia="宋体" w:hAnsi="Microsoft Yahei" w:cs="宋体"/>
          <w:color w:val="000000" w:themeColor="text1"/>
          <w:kern w:val="0"/>
          <w:sz w:val="24"/>
          <w:szCs w:val="24"/>
        </w:rPr>
        <w:t>收入额减按</w:t>
      </w:r>
      <w:proofErr w:type="gramEnd"/>
      <w:r w:rsidRPr="005A76D7">
        <w:rPr>
          <w:rFonts w:ascii="Microsoft Yahei" w:eastAsia="宋体" w:hAnsi="Microsoft Yahei" w:cs="宋体"/>
          <w:color w:val="000000" w:themeColor="text1"/>
          <w:kern w:val="0"/>
          <w:sz w:val="24"/>
          <w:szCs w:val="24"/>
        </w:rPr>
        <w:t>百分之七十计算。</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非居民个人工资、薪金所得，劳务报酬所得，</w:t>
      </w:r>
      <w:proofErr w:type="gramStart"/>
      <w:r w:rsidRPr="005A76D7">
        <w:rPr>
          <w:rFonts w:ascii="Microsoft Yahei" w:eastAsia="宋体" w:hAnsi="Microsoft Yahei" w:cs="宋体"/>
          <w:color w:val="000000" w:themeColor="text1"/>
          <w:kern w:val="0"/>
          <w:sz w:val="24"/>
          <w:szCs w:val="24"/>
        </w:rPr>
        <w:t>槁</w:t>
      </w:r>
      <w:proofErr w:type="gramEnd"/>
      <w:r w:rsidRPr="005A76D7">
        <w:rPr>
          <w:rFonts w:ascii="Microsoft Yahei" w:eastAsia="宋体" w:hAnsi="Microsoft Yahei" w:cs="宋体"/>
          <w:color w:val="000000" w:themeColor="text1"/>
          <w:kern w:val="0"/>
          <w:sz w:val="24"/>
          <w:szCs w:val="24"/>
        </w:rPr>
        <w:t>酬所得，特许权使用费所得应纳税额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应纳税所得额</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税率</w:t>
      </w:r>
      <w:r w:rsidRPr="005A76D7">
        <w:rPr>
          <w:rFonts w:ascii="Microsoft Yahei" w:eastAsia="宋体" w:hAnsi="Microsoft Yahei" w:cs="宋体"/>
          <w:color w:val="000000" w:themeColor="text1"/>
          <w:kern w:val="0"/>
          <w:sz w:val="24"/>
          <w:szCs w:val="24"/>
        </w:rPr>
        <w:t>-</w:t>
      </w:r>
      <w:r w:rsidRPr="005A76D7">
        <w:rPr>
          <w:rFonts w:ascii="Microsoft Yahei" w:eastAsia="宋体" w:hAnsi="Microsoft Yahei" w:cs="宋体"/>
          <w:color w:val="000000" w:themeColor="text1"/>
          <w:kern w:val="0"/>
          <w:sz w:val="24"/>
          <w:szCs w:val="24"/>
        </w:rPr>
        <w:t>速算扣除数</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lastRenderedPageBreak/>
        <w:t>本公告自</w:t>
      </w:r>
      <w:r w:rsidRPr="005A76D7">
        <w:rPr>
          <w:rFonts w:ascii="Microsoft Yahei" w:eastAsia="宋体" w:hAnsi="Microsoft Yahei" w:cs="宋体"/>
          <w:color w:val="000000" w:themeColor="text1"/>
          <w:kern w:val="0"/>
          <w:sz w:val="24"/>
          <w:szCs w:val="24"/>
        </w:rPr>
        <w:t>2019</w:t>
      </w:r>
      <w:r w:rsidRPr="005A76D7">
        <w:rPr>
          <w:rFonts w:ascii="Microsoft Yahei" w:eastAsia="宋体" w:hAnsi="Microsoft Yahei" w:cs="宋体"/>
          <w:color w:val="000000" w:themeColor="text1"/>
          <w:kern w:val="0"/>
          <w:sz w:val="24"/>
          <w:szCs w:val="24"/>
        </w:rPr>
        <w:t>年</w:t>
      </w:r>
      <w:r w:rsidRPr="005A76D7">
        <w:rPr>
          <w:rFonts w:ascii="Microsoft Yahei" w:eastAsia="宋体" w:hAnsi="Microsoft Yahei" w:cs="宋体"/>
          <w:color w:val="000000" w:themeColor="text1"/>
          <w:kern w:val="0"/>
          <w:sz w:val="24"/>
          <w:szCs w:val="24"/>
        </w:rPr>
        <w:t>1</w:t>
      </w:r>
      <w:r w:rsidRPr="005A76D7">
        <w:rPr>
          <w:rFonts w:ascii="Microsoft Yahei" w:eastAsia="宋体" w:hAnsi="Microsoft Yahei" w:cs="宋体"/>
          <w:color w:val="000000" w:themeColor="text1"/>
          <w:kern w:val="0"/>
          <w:sz w:val="24"/>
          <w:szCs w:val="24"/>
        </w:rPr>
        <w:t>月</w:t>
      </w:r>
      <w:r w:rsidRPr="005A76D7">
        <w:rPr>
          <w:rFonts w:ascii="Microsoft Yahei" w:eastAsia="宋体" w:hAnsi="Microsoft Yahei" w:cs="宋体"/>
          <w:color w:val="000000" w:themeColor="text1"/>
          <w:kern w:val="0"/>
          <w:sz w:val="24"/>
          <w:szCs w:val="24"/>
        </w:rPr>
        <w:t>1</w:t>
      </w:r>
      <w:r w:rsidRPr="005A76D7">
        <w:rPr>
          <w:rFonts w:ascii="Microsoft Yahei" w:eastAsia="宋体" w:hAnsi="Microsoft Yahei" w:cs="宋体"/>
          <w:color w:val="000000" w:themeColor="text1"/>
          <w:kern w:val="0"/>
          <w:sz w:val="24"/>
          <w:szCs w:val="24"/>
        </w:rPr>
        <w:t>日起施行。</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特此公告。</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附件：</w:t>
      </w:r>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1.</w:t>
      </w:r>
      <w:hyperlink r:id="rId8" w:tgtFrame="_blank" w:history="1">
        <w:r w:rsidRPr="005A76D7">
          <w:rPr>
            <w:rFonts w:ascii="Microsoft Yahei" w:eastAsia="宋体" w:hAnsi="Microsoft Yahei" w:cs="宋体"/>
            <w:color w:val="000000" w:themeColor="text1"/>
            <w:kern w:val="0"/>
            <w:sz w:val="24"/>
            <w:szCs w:val="24"/>
          </w:rPr>
          <w:t>《个人所得税扣缴申报表》及填表说明</w:t>
        </w:r>
      </w:hyperlink>
    </w:p>
    <w:p w:rsidR="00330EBE" w:rsidRPr="005A76D7" w:rsidRDefault="00330EBE" w:rsidP="00330EBE">
      <w:pPr>
        <w:widowControl/>
        <w:shd w:val="clear" w:color="auto" w:fill="FFFFFF"/>
        <w:wordWrap w:val="0"/>
        <w:spacing w:before="150" w:after="375" w:line="375" w:lineRule="atLeast"/>
        <w:ind w:firstLine="480"/>
        <w:jc w:val="lef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2.</w:t>
      </w:r>
      <w:hyperlink r:id="rId9" w:tgtFrame="_blank" w:history="1">
        <w:r w:rsidRPr="005A76D7">
          <w:rPr>
            <w:rFonts w:ascii="Microsoft Yahei" w:eastAsia="宋体" w:hAnsi="Microsoft Yahei" w:cs="宋体"/>
            <w:color w:val="000000" w:themeColor="text1"/>
            <w:kern w:val="0"/>
            <w:sz w:val="24"/>
            <w:szCs w:val="24"/>
          </w:rPr>
          <w:t>个人所得税税率表及预</w:t>
        </w:r>
        <w:proofErr w:type="gramStart"/>
        <w:r w:rsidRPr="005A76D7">
          <w:rPr>
            <w:rFonts w:ascii="Microsoft Yahei" w:eastAsia="宋体" w:hAnsi="Microsoft Yahei" w:cs="宋体"/>
            <w:color w:val="000000" w:themeColor="text1"/>
            <w:kern w:val="0"/>
            <w:sz w:val="24"/>
            <w:szCs w:val="24"/>
          </w:rPr>
          <w:t>扣率表</w:t>
        </w:r>
        <w:proofErr w:type="gramEnd"/>
      </w:hyperlink>
    </w:p>
    <w:p w:rsidR="00330EBE" w:rsidRPr="005A76D7" w:rsidRDefault="00330EBE" w:rsidP="00330EBE">
      <w:pPr>
        <w:widowControl/>
        <w:shd w:val="clear" w:color="auto" w:fill="FFFFFF"/>
        <w:wordWrap w:val="0"/>
        <w:spacing w:before="150" w:after="375" w:line="375" w:lineRule="atLeast"/>
        <w:ind w:firstLine="480"/>
        <w:jc w:val="right"/>
        <w:rPr>
          <w:rFonts w:ascii="Microsoft Yahei" w:eastAsia="宋体" w:hAnsi="Microsoft Yahei" w:cs="宋体" w:hint="eastAsia"/>
          <w:color w:val="000000" w:themeColor="text1"/>
          <w:kern w:val="0"/>
          <w:sz w:val="24"/>
          <w:szCs w:val="24"/>
        </w:rPr>
      </w:pPr>
      <w:bookmarkStart w:id="0" w:name="_GoBack"/>
      <w:bookmarkEnd w:id="0"/>
      <w:r w:rsidRPr="005A76D7">
        <w:rPr>
          <w:rFonts w:ascii="Microsoft Yahei" w:eastAsia="宋体" w:hAnsi="Microsoft Yahei" w:cs="宋体"/>
          <w:color w:val="000000" w:themeColor="text1"/>
          <w:kern w:val="0"/>
          <w:sz w:val="24"/>
          <w:szCs w:val="24"/>
        </w:rPr>
        <w:t>国家税务总局</w:t>
      </w:r>
    </w:p>
    <w:p w:rsidR="00330EBE" w:rsidRPr="005A76D7" w:rsidRDefault="00330EBE" w:rsidP="00330EBE">
      <w:pPr>
        <w:widowControl/>
        <w:shd w:val="clear" w:color="auto" w:fill="FFFFFF"/>
        <w:wordWrap w:val="0"/>
        <w:spacing w:before="150" w:after="375" w:line="375" w:lineRule="atLeast"/>
        <w:ind w:firstLine="480"/>
        <w:jc w:val="right"/>
        <w:rPr>
          <w:rFonts w:ascii="Microsoft Yahei" w:eastAsia="宋体" w:hAnsi="Microsoft Yahei" w:cs="宋体" w:hint="eastAsia"/>
          <w:color w:val="000000" w:themeColor="text1"/>
          <w:kern w:val="0"/>
          <w:sz w:val="24"/>
          <w:szCs w:val="24"/>
        </w:rPr>
      </w:pPr>
      <w:r w:rsidRPr="005A76D7">
        <w:rPr>
          <w:rFonts w:ascii="Microsoft Yahei" w:eastAsia="宋体" w:hAnsi="Microsoft Yahei" w:cs="宋体"/>
          <w:color w:val="000000" w:themeColor="text1"/>
          <w:kern w:val="0"/>
          <w:sz w:val="24"/>
          <w:szCs w:val="24"/>
        </w:rPr>
        <w:t>2018</w:t>
      </w:r>
      <w:r w:rsidRPr="005A76D7">
        <w:rPr>
          <w:rFonts w:ascii="Microsoft Yahei" w:eastAsia="宋体" w:hAnsi="Microsoft Yahei" w:cs="宋体"/>
          <w:color w:val="000000" w:themeColor="text1"/>
          <w:kern w:val="0"/>
          <w:sz w:val="24"/>
          <w:szCs w:val="24"/>
        </w:rPr>
        <w:t>年</w:t>
      </w:r>
      <w:r w:rsidRPr="005A76D7">
        <w:rPr>
          <w:rFonts w:ascii="Microsoft Yahei" w:eastAsia="宋体" w:hAnsi="Microsoft Yahei" w:cs="宋体"/>
          <w:color w:val="000000" w:themeColor="text1"/>
          <w:kern w:val="0"/>
          <w:sz w:val="24"/>
          <w:szCs w:val="24"/>
        </w:rPr>
        <w:t>12</w:t>
      </w:r>
      <w:r w:rsidRPr="005A76D7">
        <w:rPr>
          <w:rFonts w:ascii="Microsoft Yahei" w:eastAsia="宋体" w:hAnsi="Microsoft Yahei" w:cs="宋体"/>
          <w:color w:val="000000" w:themeColor="text1"/>
          <w:kern w:val="0"/>
          <w:sz w:val="24"/>
          <w:szCs w:val="24"/>
        </w:rPr>
        <w:t>月</w:t>
      </w:r>
      <w:r w:rsidRPr="005A76D7">
        <w:rPr>
          <w:rFonts w:ascii="Microsoft Yahei" w:eastAsia="宋体" w:hAnsi="Microsoft Yahei" w:cs="宋体"/>
          <w:color w:val="000000" w:themeColor="text1"/>
          <w:kern w:val="0"/>
          <w:sz w:val="24"/>
          <w:szCs w:val="24"/>
        </w:rPr>
        <w:t>19</w:t>
      </w:r>
      <w:r w:rsidRPr="005A76D7">
        <w:rPr>
          <w:rFonts w:ascii="Microsoft Yahei" w:eastAsia="宋体" w:hAnsi="Microsoft Yahei" w:cs="宋体"/>
          <w:color w:val="000000" w:themeColor="text1"/>
          <w:kern w:val="0"/>
          <w:sz w:val="24"/>
          <w:szCs w:val="24"/>
        </w:rPr>
        <w:t>日</w:t>
      </w:r>
    </w:p>
    <w:p w:rsidR="001060D4" w:rsidRPr="005A76D7" w:rsidRDefault="001060D4">
      <w:pPr>
        <w:rPr>
          <w:color w:val="000000" w:themeColor="text1"/>
        </w:rPr>
      </w:pPr>
    </w:p>
    <w:sectPr w:rsidR="001060D4" w:rsidRPr="005A7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BE"/>
    <w:rsid w:val="001060D4"/>
    <w:rsid w:val="00330EBE"/>
    <w:rsid w:val="005A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0E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0EBE"/>
    <w:rPr>
      <w:rFonts w:ascii="宋体" w:eastAsia="宋体" w:hAnsi="宋体" w:cs="宋体"/>
      <w:b/>
      <w:bCs/>
      <w:kern w:val="36"/>
      <w:sz w:val="48"/>
      <w:szCs w:val="48"/>
    </w:rPr>
  </w:style>
  <w:style w:type="character" w:customStyle="1" w:styleId="topline-praises">
    <w:name w:val="topline-praises"/>
    <w:basedOn w:val="a0"/>
    <w:rsid w:val="00330EBE"/>
  </w:style>
  <w:style w:type="character" w:styleId="a3">
    <w:name w:val="Emphasis"/>
    <w:basedOn w:val="a0"/>
    <w:uiPriority w:val="20"/>
    <w:qFormat/>
    <w:rsid w:val="00330EBE"/>
    <w:rPr>
      <w:i/>
      <w:iCs/>
    </w:rPr>
  </w:style>
  <w:style w:type="paragraph" w:styleId="a4">
    <w:name w:val="Normal (Web)"/>
    <w:basedOn w:val="a"/>
    <w:uiPriority w:val="99"/>
    <w:semiHidden/>
    <w:unhideWhenUsed/>
    <w:rsid w:val="00330EB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30EBE"/>
    <w:rPr>
      <w:color w:val="0000FF"/>
      <w:u w:val="single"/>
    </w:rPr>
  </w:style>
  <w:style w:type="character" w:styleId="a6">
    <w:name w:val="Strong"/>
    <w:basedOn w:val="a0"/>
    <w:uiPriority w:val="22"/>
    <w:qFormat/>
    <w:rsid w:val="00330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0E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0EBE"/>
    <w:rPr>
      <w:rFonts w:ascii="宋体" w:eastAsia="宋体" w:hAnsi="宋体" w:cs="宋体"/>
      <w:b/>
      <w:bCs/>
      <w:kern w:val="36"/>
      <w:sz w:val="48"/>
      <w:szCs w:val="48"/>
    </w:rPr>
  </w:style>
  <w:style w:type="character" w:customStyle="1" w:styleId="topline-praises">
    <w:name w:val="topline-praises"/>
    <w:basedOn w:val="a0"/>
    <w:rsid w:val="00330EBE"/>
  </w:style>
  <w:style w:type="character" w:styleId="a3">
    <w:name w:val="Emphasis"/>
    <w:basedOn w:val="a0"/>
    <w:uiPriority w:val="20"/>
    <w:qFormat/>
    <w:rsid w:val="00330EBE"/>
    <w:rPr>
      <w:i/>
      <w:iCs/>
    </w:rPr>
  </w:style>
  <w:style w:type="paragraph" w:styleId="a4">
    <w:name w:val="Normal (Web)"/>
    <w:basedOn w:val="a"/>
    <w:uiPriority w:val="99"/>
    <w:semiHidden/>
    <w:unhideWhenUsed/>
    <w:rsid w:val="00330EB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30EBE"/>
    <w:rPr>
      <w:color w:val="0000FF"/>
      <w:u w:val="single"/>
    </w:rPr>
  </w:style>
  <w:style w:type="character" w:styleId="a6">
    <w:name w:val="Strong"/>
    <w:basedOn w:val="a0"/>
    <w:uiPriority w:val="22"/>
    <w:qFormat/>
    <w:rsid w:val="00330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9183">
      <w:bodyDiv w:val="1"/>
      <w:marLeft w:val="0"/>
      <w:marRight w:val="0"/>
      <w:marTop w:val="0"/>
      <w:marBottom w:val="0"/>
      <w:divBdr>
        <w:top w:val="none" w:sz="0" w:space="0" w:color="auto"/>
        <w:left w:val="none" w:sz="0" w:space="0" w:color="auto"/>
        <w:bottom w:val="none" w:sz="0" w:space="0" w:color="auto"/>
        <w:right w:val="none" w:sz="0" w:space="0" w:color="auto"/>
      </w:divBdr>
      <w:divsChild>
        <w:div w:id="1203520560">
          <w:marLeft w:val="0"/>
          <w:marRight w:val="0"/>
          <w:marTop w:val="0"/>
          <w:marBottom w:val="0"/>
          <w:divBdr>
            <w:top w:val="none" w:sz="0" w:space="0" w:color="auto"/>
            <w:left w:val="none" w:sz="0" w:space="0" w:color="auto"/>
            <w:bottom w:val="none" w:sz="0" w:space="0" w:color="auto"/>
            <w:right w:val="none" w:sz="0" w:space="0" w:color="auto"/>
          </w:divBdr>
          <w:divsChild>
            <w:div w:id="324281444">
              <w:marLeft w:val="0"/>
              <w:marRight w:val="0"/>
              <w:marTop w:val="0"/>
              <w:marBottom w:val="0"/>
              <w:divBdr>
                <w:top w:val="none" w:sz="0" w:space="0" w:color="auto"/>
                <w:left w:val="none" w:sz="0" w:space="0" w:color="auto"/>
                <w:bottom w:val="single" w:sz="6" w:space="4" w:color="E6E7EB"/>
                <w:right w:val="none" w:sz="0" w:space="0" w:color="auto"/>
              </w:divBdr>
              <w:divsChild>
                <w:div w:id="435367553">
                  <w:marLeft w:val="0"/>
                  <w:marRight w:val="0"/>
                  <w:marTop w:val="0"/>
                  <w:marBottom w:val="0"/>
                  <w:divBdr>
                    <w:top w:val="none" w:sz="0" w:space="0" w:color="auto"/>
                    <w:left w:val="none" w:sz="0" w:space="0" w:color="auto"/>
                    <w:bottom w:val="none" w:sz="0" w:space="0" w:color="auto"/>
                    <w:right w:val="none" w:sz="0" w:space="0" w:color="auto"/>
                  </w:divBdr>
                </w:div>
              </w:divsChild>
            </w:div>
            <w:div w:id="2037347451">
              <w:marLeft w:val="0"/>
              <w:marRight w:val="0"/>
              <w:marTop w:val="0"/>
              <w:marBottom w:val="0"/>
              <w:divBdr>
                <w:top w:val="none" w:sz="0" w:space="0" w:color="auto"/>
                <w:left w:val="none" w:sz="0" w:space="0" w:color="auto"/>
                <w:bottom w:val="none" w:sz="0" w:space="0" w:color="auto"/>
                <w:right w:val="none" w:sz="0" w:space="0" w:color="auto"/>
              </w:divBdr>
              <w:divsChild>
                <w:div w:id="802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17win.com/attaches/2018/1220/b30e41f78605f59543cea045262a06e7.doc" TargetMode="External"/><Relationship Id="rId3" Type="http://schemas.openxmlformats.org/officeDocument/2006/relationships/settings" Target="settings.xml"/><Relationship Id="rId7" Type="http://schemas.openxmlformats.org/officeDocument/2006/relationships/hyperlink" Target="http://news.17win.com/views/details/643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17win.com/views/details/64336" TargetMode="External"/><Relationship Id="rId11" Type="http://schemas.openxmlformats.org/officeDocument/2006/relationships/theme" Target="theme/theme1.xml"/><Relationship Id="rId5" Type="http://schemas.openxmlformats.org/officeDocument/2006/relationships/hyperlink" Target="http://news.17win.com/views/details/643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deo.17win.com/attaches/2018/1220/208285dcfaf51e0da88041273695e43f.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284</Words>
  <Characters>1620</Characters>
  <Application>Microsoft Office Word</Application>
  <DocSecurity>0</DocSecurity>
  <Lines>13</Lines>
  <Paragraphs>3</Paragraphs>
  <ScaleCrop>false</ScaleCrop>
  <Company>jnds</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zqdshsy</dc:creator>
  <cp:lastModifiedBy>zqdshsy</cp:lastModifiedBy>
  <cp:revision>2</cp:revision>
  <dcterms:created xsi:type="dcterms:W3CDTF">2018-12-23T02:59:00Z</dcterms:created>
  <dcterms:modified xsi:type="dcterms:W3CDTF">2018-12-23T03:51:00Z</dcterms:modified>
</cp:coreProperties>
</file>