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971" w:rsidRPr="00112971" w:rsidRDefault="00112971" w:rsidP="00112971">
      <w:pPr>
        <w:widowControl/>
        <w:spacing w:line="450" w:lineRule="atLeast"/>
        <w:jc w:val="center"/>
        <w:outlineLvl w:val="0"/>
        <w:rPr>
          <w:rFonts w:ascii="宋体" w:eastAsia="宋体" w:hAnsi="宋体" w:cs="宋体"/>
          <w:color w:val="42515A"/>
          <w:kern w:val="36"/>
          <w:sz w:val="44"/>
          <w:szCs w:val="44"/>
        </w:rPr>
      </w:pPr>
      <w:r w:rsidRPr="00112971">
        <w:rPr>
          <w:rFonts w:ascii="宋体" w:eastAsia="宋体" w:hAnsi="宋体" w:cs="宋体" w:hint="eastAsia"/>
          <w:color w:val="42515A"/>
          <w:kern w:val="36"/>
          <w:sz w:val="44"/>
          <w:szCs w:val="44"/>
        </w:rPr>
        <w:t>关于开展省级（示范）工程技术研究中心绩效评估工作的通</w:t>
      </w:r>
      <w:r w:rsidRPr="00637D50">
        <w:rPr>
          <w:rFonts w:ascii="宋体" w:eastAsia="宋体" w:hAnsi="宋体" w:cs="宋体" w:hint="eastAsia"/>
          <w:color w:val="42515A"/>
          <w:kern w:val="36"/>
          <w:sz w:val="44"/>
          <w:szCs w:val="44"/>
        </w:rPr>
        <w:t>知</w:t>
      </w:r>
    </w:p>
    <w:p w:rsidR="005276DA" w:rsidRDefault="005276DA"/>
    <w:p w:rsidR="00637D50" w:rsidRDefault="00637D50" w:rsidP="00637D50">
      <w:pPr>
        <w:widowControl/>
        <w:spacing w:line="360" w:lineRule="atLeast"/>
        <w:jc w:val="left"/>
        <w:rPr>
          <w:rFonts w:ascii="宋体" w:eastAsia="宋体" w:hAnsi="宋体"/>
          <w:sz w:val="28"/>
          <w:szCs w:val="28"/>
        </w:rPr>
      </w:pPr>
      <w:r w:rsidRPr="00637D50">
        <w:rPr>
          <w:rFonts w:ascii="宋体" w:eastAsia="宋体" w:hAnsi="宋体" w:hint="eastAsia"/>
          <w:sz w:val="28"/>
          <w:szCs w:val="28"/>
        </w:rPr>
        <w:t>各市科技局、省直有关部门，各有关单位</w:t>
      </w:r>
      <w:r w:rsidRPr="00637D50">
        <w:rPr>
          <w:rFonts w:ascii="宋体" w:eastAsia="宋体" w:hAnsi="宋体"/>
          <w:sz w:val="28"/>
          <w:szCs w:val="28"/>
        </w:rPr>
        <w:t>:</w:t>
      </w:r>
    </w:p>
    <w:p w:rsidR="00112971" w:rsidRPr="00112971" w:rsidRDefault="00112971" w:rsidP="00637D50">
      <w:pPr>
        <w:widowControl/>
        <w:spacing w:line="360" w:lineRule="atLeas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112971">
        <w:rPr>
          <w:rFonts w:ascii="宋体" w:eastAsia="宋体" w:hAnsi="宋体" w:cs="宋体"/>
          <w:color w:val="42515A"/>
          <w:kern w:val="0"/>
          <w:sz w:val="28"/>
          <w:szCs w:val="28"/>
          <w:bdr w:val="none" w:sz="0" w:space="0" w:color="auto" w:frame="1"/>
        </w:rPr>
        <w:t>为进一步规范省级（示范）工程技术研究中心建设和运行，提升中心发展水平，为新旧动能转换提供支撑，根据《山东省省级工程技术研究中心提质升级的实施意见（试行）》及有关规定，</w:t>
      </w:r>
      <w:proofErr w:type="gramStart"/>
      <w:r w:rsidRPr="00112971">
        <w:rPr>
          <w:rFonts w:ascii="宋体" w:eastAsia="宋体" w:hAnsi="宋体" w:cs="宋体"/>
          <w:color w:val="42515A"/>
          <w:kern w:val="0"/>
          <w:sz w:val="28"/>
          <w:szCs w:val="28"/>
          <w:bdr w:val="none" w:sz="0" w:space="0" w:color="auto" w:frame="1"/>
        </w:rPr>
        <w:t>现启动</w:t>
      </w:r>
      <w:proofErr w:type="gramEnd"/>
      <w:r w:rsidRPr="00112971">
        <w:rPr>
          <w:rFonts w:ascii="宋体" w:eastAsia="宋体" w:hAnsi="宋体" w:cs="宋体"/>
          <w:color w:val="42515A"/>
          <w:kern w:val="0"/>
          <w:sz w:val="28"/>
          <w:szCs w:val="28"/>
          <w:bdr w:val="none" w:sz="0" w:space="0" w:color="auto" w:frame="1"/>
        </w:rPr>
        <w:t>2017年度省级（示范）工程技术研究中心绩效评估工作，有关事项通知如下：</w:t>
      </w:r>
    </w:p>
    <w:p w:rsidR="00112971" w:rsidRPr="00112971" w:rsidRDefault="00112971" w:rsidP="00637D50">
      <w:pPr>
        <w:widowControl/>
        <w:spacing w:line="360" w:lineRule="atLeast"/>
        <w:ind w:firstLineChars="200" w:firstLine="560"/>
        <w:jc w:val="left"/>
        <w:rPr>
          <w:rFonts w:ascii="宋体" w:eastAsia="宋体" w:hAnsi="宋体" w:cs="宋体"/>
          <w:color w:val="42515A"/>
          <w:kern w:val="0"/>
          <w:sz w:val="28"/>
          <w:szCs w:val="28"/>
        </w:rPr>
      </w:pPr>
      <w:r w:rsidRPr="00112971">
        <w:rPr>
          <w:rFonts w:ascii="宋体" w:eastAsia="宋体" w:hAnsi="宋体" w:cs="宋体"/>
          <w:color w:val="42515A"/>
          <w:kern w:val="0"/>
          <w:sz w:val="28"/>
          <w:szCs w:val="28"/>
          <w:bdr w:val="none" w:sz="0" w:space="0" w:color="auto" w:frame="1"/>
        </w:rPr>
        <w:t>一、评估范围     </w:t>
      </w:r>
    </w:p>
    <w:p w:rsidR="00637D50" w:rsidRPr="00637D50" w:rsidRDefault="00112971" w:rsidP="00637D50">
      <w:pPr>
        <w:widowControl/>
        <w:spacing w:line="360" w:lineRule="atLeast"/>
        <w:ind w:firstLineChars="200" w:firstLine="560"/>
        <w:jc w:val="left"/>
        <w:rPr>
          <w:rFonts w:ascii="宋体" w:eastAsia="宋体" w:hAnsi="宋体" w:cs="宋体"/>
          <w:color w:val="42515A"/>
          <w:kern w:val="0"/>
          <w:sz w:val="28"/>
          <w:szCs w:val="28"/>
          <w:bdr w:val="none" w:sz="0" w:space="0" w:color="auto" w:frame="1"/>
        </w:rPr>
      </w:pPr>
      <w:r w:rsidRPr="00112971">
        <w:rPr>
          <w:rFonts w:ascii="宋体" w:eastAsia="宋体" w:hAnsi="宋体" w:cs="宋体"/>
          <w:color w:val="42515A"/>
          <w:kern w:val="0"/>
          <w:sz w:val="28"/>
          <w:szCs w:val="28"/>
          <w:bdr w:val="none" w:sz="0" w:space="0" w:color="auto" w:frame="1"/>
        </w:rPr>
        <w:t>2014年前批复建设的省级工程技术研究中心和2014年批复建设的省级示范工程技术研究中心。</w:t>
      </w:r>
    </w:p>
    <w:p w:rsidR="00112971" w:rsidRPr="00112971" w:rsidRDefault="00112971" w:rsidP="00637D50">
      <w:pPr>
        <w:widowControl/>
        <w:spacing w:line="360" w:lineRule="atLeast"/>
        <w:ind w:firstLineChars="200" w:firstLine="560"/>
        <w:jc w:val="left"/>
        <w:rPr>
          <w:rFonts w:ascii="宋体" w:eastAsia="宋体" w:hAnsi="宋体" w:cs="宋体"/>
          <w:color w:val="42515A"/>
          <w:kern w:val="0"/>
          <w:sz w:val="28"/>
          <w:szCs w:val="28"/>
        </w:rPr>
      </w:pPr>
      <w:r w:rsidRPr="00112971">
        <w:rPr>
          <w:rFonts w:ascii="宋体" w:eastAsia="宋体" w:hAnsi="宋体" w:cs="宋体"/>
          <w:color w:val="42515A"/>
          <w:kern w:val="0"/>
          <w:sz w:val="28"/>
          <w:szCs w:val="28"/>
          <w:bdr w:val="none" w:sz="0" w:space="0" w:color="auto" w:frame="1"/>
        </w:rPr>
        <w:t>二、评估程序</w:t>
      </w:r>
    </w:p>
    <w:p w:rsidR="00112971" w:rsidRPr="00112971" w:rsidRDefault="00112971" w:rsidP="00637D50">
      <w:pPr>
        <w:widowControl/>
        <w:spacing w:line="360" w:lineRule="atLeast"/>
        <w:ind w:firstLineChars="200" w:firstLine="560"/>
        <w:jc w:val="left"/>
        <w:rPr>
          <w:rFonts w:ascii="宋体" w:eastAsia="宋体" w:hAnsi="宋体" w:cs="宋体"/>
          <w:color w:val="42515A"/>
          <w:kern w:val="0"/>
          <w:sz w:val="28"/>
          <w:szCs w:val="28"/>
        </w:rPr>
      </w:pPr>
      <w:r w:rsidRPr="00112971">
        <w:rPr>
          <w:rFonts w:ascii="宋体" w:eastAsia="宋体" w:hAnsi="宋体" w:cs="宋体"/>
          <w:color w:val="42515A"/>
          <w:kern w:val="0"/>
          <w:sz w:val="28"/>
          <w:szCs w:val="28"/>
          <w:bdr w:val="none" w:sz="0" w:space="0" w:color="auto" w:frame="1"/>
        </w:rPr>
        <w:t>1、填报评估材料。请各相关中心</w:t>
      </w:r>
      <w:proofErr w:type="gramStart"/>
      <w:r w:rsidRPr="00112971">
        <w:rPr>
          <w:rFonts w:ascii="宋体" w:eastAsia="宋体" w:hAnsi="宋体" w:cs="宋体"/>
          <w:color w:val="42515A"/>
          <w:kern w:val="0"/>
          <w:sz w:val="28"/>
          <w:szCs w:val="28"/>
          <w:bdr w:val="none" w:sz="0" w:space="0" w:color="auto" w:frame="1"/>
        </w:rPr>
        <w:t>登录省</w:t>
      </w:r>
      <w:proofErr w:type="gramEnd"/>
      <w:r w:rsidRPr="00112971">
        <w:rPr>
          <w:rFonts w:ascii="宋体" w:eastAsia="宋体" w:hAnsi="宋体" w:cs="宋体"/>
          <w:color w:val="42515A"/>
          <w:kern w:val="0"/>
          <w:sz w:val="28"/>
          <w:szCs w:val="28"/>
          <w:bdr w:val="none" w:sz="0" w:space="0" w:color="auto" w:frame="1"/>
        </w:rPr>
        <w:t>科技云平台（网址：http://221.214.94.50:81/uc/login/login.htm，系统将于2017年6月5日后开放），按相关说明进行注册登录，完善相关信息，并填写绩效评估材料。经主管部门在线审核后，生成中心正式绩效评估报告（格式见附件1）。</w:t>
      </w:r>
    </w:p>
    <w:p w:rsidR="00637D50" w:rsidRDefault="00112971" w:rsidP="00637D50">
      <w:pPr>
        <w:widowControl/>
        <w:spacing w:line="360" w:lineRule="atLeast"/>
        <w:ind w:firstLineChars="200" w:firstLine="560"/>
        <w:jc w:val="left"/>
        <w:rPr>
          <w:rFonts w:ascii="宋体" w:eastAsia="宋体" w:hAnsi="宋体" w:cs="宋体"/>
          <w:color w:val="42515A"/>
          <w:kern w:val="0"/>
          <w:sz w:val="28"/>
          <w:szCs w:val="28"/>
        </w:rPr>
      </w:pPr>
      <w:r w:rsidRPr="00112971">
        <w:rPr>
          <w:rFonts w:ascii="宋体" w:eastAsia="宋体" w:hAnsi="宋体" w:cs="宋体"/>
          <w:color w:val="42515A"/>
          <w:kern w:val="0"/>
          <w:sz w:val="28"/>
          <w:szCs w:val="28"/>
          <w:bdr w:val="none" w:sz="0" w:space="0" w:color="auto" w:frame="1"/>
        </w:rPr>
        <w:t>2、预评估。请各主管部门对中心绩效评估报告材料进行认真审核，并根据山东省（示范）工程技术研究中心评估指标体系（见附件2）组织对相关中心进行预评估，预评估结果分为优秀、合格和不合格三个等次，其中优秀等次一般不超过总数的30%。各主管部门根据预评估结果形成工作总结报告，总结（示范）工程技术研究</w:t>
      </w:r>
      <w:r w:rsidRPr="00112971">
        <w:rPr>
          <w:rFonts w:ascii="宋体" w:eastAsia="宋体" w:hAnsi="宋体" w:cs="宋体"/>
          <w:color w:val="42515A"/>
          <w:kern w:val="0"/>
          <w:sz w:val="28"/>
          <w:szCs w:val="28"/>
          <w:bdr w:val="none" w:sz="0" w:space="0" w:color="auto" w:frame="1"/>
        </w:rPr>
        <w:lastRenderedPageBreak/>
        <w:t>中心管理及建设运行中取得的成效、典型经验做法、存在的问题和不足。请各</w:t>
      </w:r>
      <w:r w:rsidRPr="00637D50">
        <w:rPr>
          <w:rFonts w:ascii="宋体" w:eastAsia="宋体" w:hAnsi="宋体" w:cs="宋体" w:hint="eastAsia"/>
          <w:color w:val="42515A"/>
          <w:kern w:val="0"/>
          <w:sz w:val="28"/>
          <w:szCs w:val="28"/>
          <w:bdr w:val="none" w:sz="0" w:space="0" w:color="auto" w:frame="1"/>
        </w:rPr>
        <w:t>工程技术中心</w:t>
      </w:r>
      <w:r w:rsidRPr="00112971">
        <w:rPr>
          <w:rFonts w:ascii="宋体" w:eastAsia="宋体" w:hAnsi="宋体" w:cs="宋体"/>
          <w:color w:val="42515A"/>
          <w:kern w:val="0"/>
          <w:sz w:val="28"/>
          <w:szCs w:val="28"/>
          <w:bdr w:val="none" w:sz="0" w:space="0" w:color="auto" w:frame="1"/>
        </w:rPr>
        <w:t>将工作总结报告、预评估结果以及各中心评估报告（各一式两份）于2017年6月20日前将正式函报省科技厅。</w:t>
      </w:r>
    </w:p>
    <w:p w:rsidR="00112971" w:rsidRPr="00112971" w:rsidRDefault="00112971" w:rsidP="00637D50">
      <w:pPr>
        <w:widowControl/>
        <w:spacing w:line="360" w:lineRule="atLeast"/>
        <w:ind w:firstLineChars="200" w:firstLine="560"/>
        <w:jc w:val="left"/>
        <w:rPr>
          <w:rFonts w:ascii="宋体" w:eastAsia="宋体" w:hAnsi="宋体" w:cs="宋体"/>
          <w:color w:val="42515A"/>
          <w:kern w:val="0"/>
          <w:sz w:val="28"/>
          <w:szCs w:val="28"/>
        </w:rPr>
      </w:pPr>
      <w:r w:rsidRPr="00112971">
        <w:rPr>
          <w:rFonts w:ascii="宋体" w:eastAsia="宋体" w:hAnsi="宋体" w:cs="宋体"/>
          <w:color w:val="42515A"/>
          <w:kern w:val="0"/>
          <w:sz w:val="28"/>
          <w:szCs w:val="28"/>
          <w:bdr w:val="none" w:sz="0" w:space="0" w:color="auto" w:frame="1"/>
        </w:rPr>
        <w:t>3、综合评估。省科技厅将委托第三方机构组织专家，结合主管部门预评估结果，对各中心的评估报告材料进行综合评估。</w:t>
      </w:r>
    </w:p>
    <w:p w:rsidR="00112971" w:rsidRPr="00112971" w:rsidRDefault="00112971" w:rsidP="00637D50">
      <w:pPr>
        <w:widowControl/>
        <w:spacing w:line="360" w:lineRule="atLeast"/>
        <w:ind w:firstLineChars="200" w:firstLine="560"/>
        <w:jc w:val="left"/>
        <w:rPr>
          <w:rFonts w:ascii="宋体" w:eastAsia="宋体" w:hAnsi="宋体" w:cs="宋体"/>
          <w:color w:val="42515A"/>
          <w:kern w:val="0"/>
          <w:sz w:val="28"/>
          <w:szCs w:val="28"/>
        </w:rPr>
      </w:pPr>
      <w:r w:rsidRPr="00112971">
        <w:rPr>
          <w:rFonts w:ascii="宋体" w:eastAsia="宋体" w:hAnsi="宋体" w:cs="宋体"/>
          <w:color w:val="42515A"/>
          <w:kern w:val="0"/>
          <w:sz w:val="28"/>
          <w:szCs w:val="28"/>
          <w:bdr w:val="none" w:sz="0" w:space="0" w:color="auto" w:frame="1"/>
        </w:rPr>
        <w:t>4、评估结果应用。建立省级（示范）工程技术研究中心动态管理和奖优罚劣机制，综合评估结果将作为择优支持的重要依据。评估优秀的省级工程技术研究中心，将择优纳入省级示范工程技术研究中心管理；达不到标准的（示范）工程技术研究中心，将给予降级、警告或取消资格处理。</w:t>
      </w:r>
    </w:p>
    <w:p w:rsidR="00112971" w:rsidRPr="00112971" w:rsidRDefault="00112971" w:rsidP="00637D50">
      <w:pPr>
        <w:widowControl/>
        <w:spacing w:line="360" w:lineRule="atLeast"/>
        <w:ind w:firstLineChars="200" w:firstLine="560"/>
        <w:jc w:val="left"/>
        <w:rPr>
          <w:rFonts w:ascii="宋体" w:eastAsia="宋体" w:hAnsi="宋体" w:cs="宋体"/>
          <w:color w:val="42515A"/>
          <w:kern w:val="0"/>
          <w:sz w:val="28"/>
          <w:szCs w:val="28"/>
        </w:rPr>
      </w:pPr>
      <w:r w:rsidRPr="00112971">
        <w:rPr>
          <w:rFonts w:ascii="宋体" w:eastAsia="宋体" w:hAnsi="宋体" w:cs="宋体"/>
          <w:color w:val="42515A"/>
          <w:kern w:val="0"/>
          <w:sz w:val="28"/>
          <w:szCs w:val="28"/>
          <w:bdr w:val="none" w:sz="0" w:space="0" w:color="auto" w:frame="1"/>
        </w:rPr>
        <w:t>三、有关要求      </w:t>
      </w:r>
    </w:p>
    <w:p w:rsidR="00112971" w:rsidRPr="00112971" w:rsidRDefault="00112971" w:rsidP="00637D50">
      <w:pPr>
        <w:widowControl/>
        <w:spacing w:line="360" w:lineRule="atLeast"/>
        <w:ind w:firstLineChars="200" w:firstLine="560"/>
        <w:jc w:val="left"/>
        <w:rPr>
          <w:rFonts w:ascii="宋体" w:eastAsia="宋体" w:hAnsi="宋体" w:cs="宋体"/>
          <w:color w:val="42515A"/>
          <w:kern w:val="0"/>
          <w:sz w:val="28"/>
          <w:szCs w:val="28"/>
        </w:rPr>
      </w:pPr>
      <w:r w:rsidRPr="00112971">
        <w:rPr>
          <w:rFonts w:ascii="宋体" w:eastAsia="宋体" w:hAnsi="宋体" w:cs="宋体"/>
          <w:color w:val="42515A"/>
          <w:kern w:val="0"/>
          <w:sz w:val="28"/>
          <w:szCs w:val="28"/>
          <w:bdr w:val="none" w:sz="0" w:space="0" w:color="auto" w:frame="1"/>
        </w:rPr>
        <w:t>1、各中心须根</w:t>
      </w:r>
      <w:proofErr w:type="gramStart"/>
      <w:r w:rsidRPr="00112971">
        <w:rPr>
          <w:rFonts w:ascii="宋体" w:eastAsia="宋体" w:hAnsi="宋体" w:cs="宋体"/>
          <w:color w:val="42515A"/>
          <w:kern w:val="0"/>
          <w:sz w:val="28"/>
          <w:szCs w:val="28"/>
          <w:bdr w:val="none" w:sz="0" w:space="0" w:color="auto" w:frame="1"/>
        </w:rPr>
        <w:t>据要求</w:t>
      </w:r>
      <w:proofErr w:type="gramEnd"/>
      <w:r w:rsidRPr="00112971">
        <w:rPr>
          <w:rFonts w:ascii="宋体" w:eastAsia="宋体" w:hAnsi="宋体" w:cs="宋体"/>
          <w:color w:val="42515A"/>
          <w:kern w:val="0"/>
          <w:sz w:val="28"/>
          <w:szCs w:val="28"/>
          <w:bdr w:val="none" w:sz="0" w:space="0" w:color="auto" w:frame="1"/>
        </w:rPr>
        <w:t>全面、完整提报有关材料，并对绩效评估报告书中材料和数据的真实性负责。提供虚假材料和虚假数据的，一经查实，纳入科技信用黑名单。      </w:t>
      </w:r>
    </w:p>
    <w:p w:rsidR="00112971" w:rsidRPr="00112971" w:rsidRDefault="00112971" w:rsidP="00637D50">
      <w:pPr>
        <w:widowControl/>
        <w:spacing w:line="360" w:lineRule="atLeast"/>
        <w:ind w:firstLineChars="200" w:firstLine="560"/>
        <w:jc w:val="left"/>
        <w:rPr>
          <w:rFonts w:ascii="宋体" w:eastAsia="宋体" w:hAnsi="宋体" w:cs="宋体"/>
          <w:color w:val="42515A"/>
          <w:kern w:val="0"/>
          <w:sz w:val="28"/>
          <w:szCs w:val="28"/>
        </w:rPr>
      </w:pPr>
      <w:r w:rsidRPr="00112971">
        <w:rPr>
          <w:rFonts w:ascii="宋体" w:eastAsia="宋体" w:hAnsi="宋体" w:cs="宋体"/>
          <w:color w:val="42515A"/>
          <w:kern w:val="0"/>
          <w:sz w:val="28"/>
          <w:szCs w:val="28"/>
          <w:bdr w:val="none" w:sz="0" w:space="0" w:color="auto" w:frame="1"/>
        </w:rPr>
        <w:t>2、未按期报送绩效评估报告的省级（示范）工程技术研究中心，视为自动放弃中心资格。</w:t>
      </w:r>
    </w:p>
    <w:p w:rsidR="00112971" w:rsidRPr="00112971" w:rsidRDefault="00112971" w:rsidP="00637D50">
      <w:pPr>
        <w:widowControl/>
        <w:spacing w:line="360" w:lineRule="atLeast"/>
        <w:ind w:firstLineChars="200" w:firstLine="560"/>
        <w:jc w:val="left"/>
        <w:rPr>
          <w:rFonts w:ascii="宋体" w:eastAsia="宋体" w:hAnsi="宋体" w:cs="宋体"/>
          <w:color w:val="42515A"/>
          <w:kern w:val="0"/>
          <w:sz w:val="28"/>
          <w:szCs w:val="28"/>
        </w:rPr>
      </w:pPr>
      <w:r w:rsidRPr="00112971">
        <w:rPr>
          <w:rFonts w:ascii="宋体" w:eastAsia="宋体" w:hAnsi="宋体" w:cs="宋体"/>
          <w:color w:val="42515A"/>
          <w:kern w:val="0"/>
          <w:sz w:val="28"/>
          <w:szCs w:val="28"/>
          <w:bdr w:val="none" w:sz="0" w:space="0" w:color="auto" w:frame="1"/>
        </w:rPr>
        <w:t>四、联系方式</w:t>
      </w:r>
    </w:p>
    <w:p w:rsidR="00112971" w:rsidRPr="00112971" w:rsidRDefault="00112971" w:rsidP="00637D50">
      <w:pPr>
        <w:widowControl/>
        <w:spacing w:line="360" w:lineRule="atLeast"/>
        <w:ind w:firstLineChars="200" w:firstLine="560"/>
        <w:jc w:val="left"/>
        <w:rPr>
          <w:rFonts w:ascii="宋体" w:eastAsia="宋体" w:hAnsi="宋体" w:cs="宋体"/>
          <w:color w:val="42515A"/>
          <w:kern w:val="0"/>
          <w:sz w:val="28"/>
          <w:szCs w:val="28"/>
        </w:rPr>
      </w:pPr>
      <w:r w:rsidRPr="00112971">
        <w:rPr>
          <w:rFonts w:ascii="宋体" w:eastAsia="宋体" w:hAnsi="宋体" w:cs="宋体"/>
          <w:color w:val="42515A"/>
          <w:kern w:val="0"/>
          <w:sz w:val="28"/>
          <w:szCs w:val="28"/>
          <w:bdr w:val="none" w:sz="0" w:space="0" w:color="auto" w:frame="1"/>
        </w:rPr>
        <w:t>1、政策咨询</w:t>
      </w:r>
    </w:p>
    <w:p w:rsidR="00112971" w:rsidRPr="00112971" w:rsidRDefault="00112971" w:rsidP="00637D50">
      <w:pPr>
        <w:widowControl/>
        <w:spacing w:line="360" w:lineRule="atLeast"/>
        <w:ind w:firstLineChars="200" w:firstLine="560"/>
        <w:jc w:val="left"/>
        <w:rPr>
          <w:rFonts w:ascii="宋体" w:eastAsia="宋体" w:hAnsi="宋体" w:cs="宋体"/>
          <w:color w:val="42515A"/>
          <w:kern w:val="0"/>
          <w:sz w:val="28"/>
          <w:szCs w:val="28"/>
        </w:rPr>
      </w:pPr>
      <w:r w:rsidRPr="00112971">
        <w:rPr>
          <w:rFonts w:ascii="宋体" w:eastAsia="宋体" w:hAnsi="宋体" w:cs="宋体"/>
          <w:color w:val="42515A"/>
          <w:kern w:val="0"/>
          <w:sz w:val="28"/>
          <w:szCs w:val="28"/>
          <w:bdr w:val="none" w:sz="0" w:space="0" w:color="auto" w:frame="1"/>
        </w:rPr>
        <w:t>省科技厅高新技术发展及产业化处     0531-66777265</w:t>
      </w:r>
    </w:p>
    <w:p w:rsidR="00112971" w:rsidRPr="00112971" w:rsidRDefault="00112971" w:rsidP="00637D50">
      <w:pPr>
        <w:widowControl/>
        <w:spacing w:line="360" w:lineRule="atLeast"/>
        <w:ind w:firstLineChars="200" w:firstLine="560"/>
        <w:jc w:val="left"/>
        <w:rPr>
          <w:rFonts w:ascii="宋体" w:eastAsia="宋体" w:hAnsi="宋体" w:cs="宋体"/>
          <w:color w:val="42515A"/>
          <w:kern w:val="0"/>
          <w:sz w:val="28"/>
          <w:szCs w:val="28"/>
        </w:rPr>
      </w:pPr>
      <w:r w:rsidRPr="00112971">
        <w:rPr>
          <w:rFonts w:ascii="宋体" w:eastAsia="宋体" w:hAnsi="宋体" w:cs="宋体"/>
          <w:color w:val="42515A"/>
          <w:kern w:val="0"/>
          <w:sz w:val="28"/>
          <w:szCs w:val="28"/>
          <w:bdr w:val="none" w:sz="0" w:space="0" w:color="auto" w:frame="1"/>
        </w:rPr>
        <w:t>2、材料报送</w:t>
      </w:r>
    </w:p>
    <w:p w:rsidR="00112971" w:rsidRPr="00112971" w:rsidRDefault="00112971" w:rsidP="00637D50">
      <w:pPr>
        <w:widowControl/>
        <w:spacing w:line="360" w:lineRule="atLeast"/>
        <w:ind w:firstLineChars="200" w:firstLine="560"/>
        <w:jc w:val="left"/>
        <w:rPr>
          <w:rFonts w:ascii="宋体" w:eastAsia="宋体" w:hAnsi="宋体" w:cs="宋体"/>
          <w:color w:val="42515A"/>
          <w:kern w:val="0"/>
          <w:sz w:val="28"/>
          <w:szCs w:val="28"/>
        </w:rPr>
      </w:pPr>
      <w:r w:rsidRPr="00112971">
        <w:rPr>
          <w:rFonts w:ascii="宋体" w:eastAsia="宋体" w:hAnsi="宋体" w:cs="宋体"/>
          <w:color w:val="42515A"/>
          <w:kern w:val="0"/>
          <w:sz w:val="28"/>
          <w:szCs w:val="28"/>
          <w:bdr w:val="none" w:sz="0" w:space="0" w:color="auto" w:frame="1"/>
        </w:rPr>
        <w:t>省火炬生产力促进中心   0531-66680017      </w:t>
      </w:r>
    </w:p>
    <w:p w:rsidR="00112971" w:rsidRPr="00112971" w:rsidRDefault="00112971" w:rsidP="00637D50">
      <w:pPr>
        <w:widowControl/>
        <w:spacing w:line="360" w:lineRule="atLeast"/>
        <w:ind w:firstLineChars="200" w:firstLine="560"/>
        <w:jc w:val="left"/>
        <w:rPr>
          <w:rFonts w:ascii="宋体" w:eastAsia="宋体" w:hAnsi="宋体" w:cs="宋体"/>
          <w:color w:val="42515A"/>
          <w:kern w:val="0"/>
          <w:sz w:val="28"/>
          <w:szCs w:val="28"/>
        </w:rPr>
      </w:pPr>
      <w:r w:rsidRPr="00112971">
        <w:rPr>
          <w:rFonts w:ascii="宋体" w:eastAsia="宋体" w:hAnsi="宋体" w:cs="宋体"/>
          <w:color w:val="42515A"/>
          <w:kern w:val="0"/>
          <w:sz w:val="28"/>
          <w:szCs w:val="28"/>
          <w:bdr w:val="none" w:sz="0" w:space="0" w:color="auto" w:frame="1"/>
        </w:rPr>
        <w:lastRenderedPageBreak/>
        <w:t>材料报送地址：济南市高</w:t>
      </w:r>
      <w:proofErr w:type="gramStart"/>
      <w:r w:rsidRPr="00112971">
        <w:rPr>
          <w:rFonts w:ascii="宋体" w:eastAsia="宋体" w:hAnsi="宋体" w:cs="宋体"/>
          <w:color w:val="42515A"/>
          <w:kern w:val="0"/>
          <w:sz w:val="28"/>
          <w:szCs w:val="28"/>
          <w:bdr w:val="none" w:sz="0" w:space="0" w:color="auto" w:frame="1"/>
        </w:rPr>
        <w:t>新区舜华路</w:t>
      </w:r>
      <w:proofErr w:type="gramEnd"/>
      <w:r w:rsidRPr="00112971">
        <w:rPr>
          <w:rFonts w:ascii="宋体" w:eastAsia="宋体" w:hAnsi="宋体" w:cs="宋体"/>
          <w:color w:val="42515A"/>
          <w:kern w:val="0"/>
          <w:sz w:val="28"/>
          <w:szCs w:val="28"/>
          <w:bdr w:val="none" w:sz="0" w:space="0" w:color="auto" w:frame="1"/>
        </w:rPr>
        <w:t>607号科技大厦南楼103房间，邮编：250101。</w:t>
      </w:r>
    </w:p>
    <w:p w:rsidR="00112971" w:rsidRPr="00112971" w:rsidRDefault="00112971" w:rsidP="00637D50">
      <w:pPr>
        <w:widowControl/>
        <w:spacing w:line="360" w:lineRule="atLeast"/>
        <w:ind w:firstLineChars="200" w:firstLine="560"/>
        <w:jc w:val="left"/>
        <w:rPr>
          <w:rFonts w:ascii="宋体" w:eastAsia="宋体" w:hAnsi="宋体" w:cs="宋体"/>
          <w:color w:val="42515A"/>
          <w:kern w:val="0"/>
          <w:sz w:val="28"/>
          <w:szCs w:val="28"/>
        </w:rPr>
      </w:pPr>
      <w:r w:rsidRPr="00112971">
        <w:rPr>
          <w:rFonts w:ascii="宋体" w:eastAsia="宋体" w:hAnsi="宋体" w:cs="宋体"/>
          <w:color w:val="42515A"/>
          <w:kern w:val="0"/>
          <w:sz w:val="28"/>
          <w:szCs w:val="28"/>
          <w:bdr w:val="none" w:sz="0" w:space="0" w:color="auto" w:frame="1"/>
        </w:rPr>
        <w:t>3、系统技术支持</w:t>
      </w:r>
    </w:p>
    <w:p w:rsidR="00112971" w:rsidRPr="00112971" w:rsidRDefault="00112971" w:rsidP="00637D50">
      <w:pPr>
        <w:widowControl/>
        <w:spacing w:line="360" w:lineRule="atLeast"/>
        <w:ind w:firstLineChars="200" w:firstLine="560"/>
        <w:jc w:val="left"/>
        <w:rPr>
          <w:rFonts w:ascii="宋体" w:eastAsia="宋体" w:hAnsi="宋体" w:cs="宋体"/>
          <w:color w:val="42515A"/>
          <w:kern w:val="0"/>
          <w:sz w:val="28"/>
          <w:szCs w:val="28"/>
        </w:rPr>
      </w:pPr>
      <w:bookmarkStart w:id="0" w:name="_GoBack"/>
      <w:bookmarkEnd w:id="0"/>
      <w:r w:rsidRPr="00112971">
        <w:rPr>
          <w:rFonts w:ascii="宋体" w:eastAsia="宋体" w:hAnsi="宋体" w:cs="宋体"/>
          <w:color w:val="42515A"/>
          <w:kern w:val="0"/>
          <w:sz w:val="28"/>
          <w:szCs w:val="28"/>
          <w:bdr w:val="none" w:sz="0" w:space="0" w:color="auto" w:frame="1"/>
        </w:rPr>
        <w:t>QQ:965185991 </w:t>
      </w:r>
    </w:p>
    <w:p w:rsidR="00112971" w:rsidRPr="00637D50" w:rsidRDefault="00112971">
      <w:pPr>
        <w:rPr>
          <w:rFonts w:ascii="宋体" w:eastAsia="宋体" w:hAnsi="宋体" w:hint="eastAsia"/>
          <w:sz w:val="28"/>
          <w:szCs w:val="28"/>
        </w:rPr>
      </w:pPr>
    </w:p>
    <w:sectPr w:rsidR="00112971" w:rsidRPr="00637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71"/>
    <w:rsid w:val="00112971"/>
    <w:rsid w:val="005276DA"/>
    <w:rsid w:val="0063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D236F"/>
  <w15:chartTrackingRefBased/>
  <w15:docId w15:val="{8DB8A757-DFED-47EC-8A96-CD00D312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1297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971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39"/>
    <w:rsid w:val="00112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D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2017-06-02T01:03:00Z</dcterms:created>
  <dcterms:modified xsi:type="dcterms:W3CDTF">2017-06-02T01:30:00Z</dcterms:modified>
</cp:coreProperties>
</file>