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114" w:tblpY="2883"/>
        <w:tblOverlap w:val="never"/>
        <w:tblW w:w="937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3679"/>
        <w:gridCol w:w="1481"/>
        <w:gridCol w:w="1350"/>
        <w:gridCol w:w="900"/>
        <w:gridCol w:w="15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流空间视角下都市圈一体化发展及制度创新研究 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规划基金项目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15YJA790048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庞晶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研究咨询报告; 论文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2 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政策转移视角下的标准劳工政策扩散研究 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规划基金项目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15YJAZH076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王晓荣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研究咨询报告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政府间策略互动背景下环境污染空间外溢程度测算及治理机制研究 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青年基金项目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15YJC6301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90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郑法川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研究咨询报告; 论文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人民币国际化进程中资本账户开放及其风险防范研究 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规划基金项目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16YJA790040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彭红枫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论文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基于风险调整报酬率的最优保险投资策略 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规划基金项目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16YJA910003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赵霞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论文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居家养老服务多元供给主体合作治理研究：影响因素分析及路径构建 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青年基金项目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16YJC630046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姜玉贞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研究咨询报告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基于优化控制策略的绝对破产风险模型研究 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青年基金项目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16YJC630070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刘健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论文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签字注册会计师自恋人格对执业行为及结果的影响机制研究 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青年基金项目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16YJC790110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武恒光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论文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5" w:lineRule="atLeast"/>
        <w:ind w:right="0" w:rightChars="0"/>
        <w:jc w:val="center"/>
        <w:textAlignment w:val="auto"/>
        <w:outlineLvl w:val="9"/>
        <w:rPr>
          <w:rFonts w:hint="eastAsia" w:ascii="Arial" w:hAnsi="Arial" w:cs="Arial"/>
          <w:b/>
          <w:bCs/>
          <w:sz w:val="24"/>
          <w:szCs w:val="24"/>
          <w:lang w:eastAsia="zh-CN"/>
        </w:rPr>
      </w:pPr>
      <w:r>
        <w:rPr>
          <w:rFonts w:hint="default" w:ascii="Arial" w:hAnsi="Arial" w:cs="Arial"/>
          <w:b/>
          <w:bCs/>
          <w:sz w:val="24"/>
          <w:szCs w:val="24"/>
        </w:rPr>
        <w:t>2018年度教育部人文社会科学研究项目中期检查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一览表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60F08"/>
    <w:rsid w:val="20301565"/>
    <w:rsid w:val="55F36D1A"/>
    <w:rsid w:val="6D535020"/>
    <w:rsid w:val="74E6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style01"/>
    <w:basedOn w:val="3"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2018-06-19T02:09:00Z</dcterms:created>
  <dc:creator>Administrator</dc:creator>
  <cp:lastModifiedBy>Administrator</cp:lastModifiedBy>
  <dcterms:modified xsi:type="dcterms:W3CDTF">2018-06-19T03:21:15Z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