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24" w:beforeLines="200" w:after="312" w:afterLines="100" w:line="288" w:lineRule="auto"/>
        <w:jc w:val="center"/>
        <w:rPr>
          <w:rFonts w:ascii="黑体" w:hAnsi="黑体" w:eastAsia="黑体" w:cs="黑体"/>
          <w:sz w:val="30"/>
          <w:szCs w:val="30"/>
        </w:rPr>
      </w:pPr>
      <w:r>
        <w:rPr>
          <w:rFonts w:hint="eastAsia" w:ascii="黑体" w:hAnsi="黑体" w:eastAsia="黑体" w:cs="黑体"/>
          <w:sz w:val="30"/>
          <w:szCs w:val="30"/>
        </w:rPr>
        <w:t>山东财经大学计算机文化节金融创新</w:t>
      </w:r>
      <w:r>
        <w:rPr>
          <w:rFonts w:hint="eastAsia" w:ascii="黑体" w:hAnsi="黑体" w:eastAsia="黑体" w:cs="黑体"/>
          <w:sz w:val="30"/>
          <w:szCs w:val="30"/>
          <w:lang w:eastAsia="zh-CN"/>
        </w:rPr>
        <w:t>大</w:t>
      </w:r>
      <w:r>
        <w:rPr>
          <w:rFonts w:hint="eastAsia" w:ascii="黑体" w:hAnsi="黑体" w:eastAsia="黑体" w:cs="黑体"/>
          <w:sz w:val="30"/>
          <w:szCs w:val="30"/>
        </w:rPr>
        <w:t>赛</w:t>
      </w:r>
    </w:p>
    <w:p>
      <w:pPr>
        <w:spacing w:before="156" w:beforeLines="50"/>
        <w:ind w:firstLine="480" w:firstLineChars="200"/>
        <w:rPr>
          <w:rFonts w:asciiTheme="minorEastAsia" w:hAnsiTheme="minorEastAsia"/>
          <w:sz w:val="24"/>
        </w:rPr>
      </w:pPr>
      <w:r>
        <w:rPr>
          <w:rFonts w:hint="eastAsia" w:asciiTheme="minorEastAsia" w:hAnsiTheme="minorEastAsia"/>
          <w:sz w:val="24"/>
        </w:rPr>
        <w:t>随着经济的快速发展和金融改革的深化，我国已成为世界金融大国。网络技术、移动通讯技术以及云计算、大数据技术的发展，为金融领域创新提供了无限空间。同时，互联网金融、金融风险管理、量化投资等的兴起，也为信息技术与金融的融合提供了契机。</w:t>
      </w:r>
    </w:p>
    <w:p>
      <w:pPr>
        <w:spacing w:before="156" w:beforeLines="50"/>
        <w:ind w:firstLine="480" w:firstLineChars="200"/>
        <w:rPr>
          <w:rFonts w:asciiTheme="minorEastAsia" w:hAnsiTheme="minorEastAsia"/>
          <w:sz w:val="24"/>
        </w:rPr>
      </w:pPr>
      <w:r>
        <w:rPr>
          <w:rFonts w:hint="eastAsia" w:asciiTheme="minorEastAsia" w:hAnsiTheme="minorEastAsia"/>
          <w:sz w:val="24"/>
        </w:rPr>
        <w:t>为了普及金融信息化知识，更好地培养“计算机+金融”的学科交叉人才，引导在校大学生关注信息技术在金融领域的创新应用，探索运用专业知识和信息技术解决、改进和创新目前金融业发展过程中所面临的问题和挑战，以及更好地服务于山东经济文化强省建设，2017山东财经大学计算机文化节开设金融软件创新赛，现将方案公布如下：</w:t>
      </w:r>
    </w:p>
    <w:p>
      <w:pPr>
        <w:pStyle w:val="9"/>
        <w:numPr>
          <w:ilvl w:val="0"/>
          <w:numId w:val="1"/>
        </w:numPr>
        <w:spacing w:before="156" w:beforeLines="50"/>
        <w:ind w:firstLine="482"/>
        <w:rPr>
          <w:rFonts w:asciiTheme="minorEastAsia" w:hAnsiTheme="minorEastAsia"/>
          <w:b/>
          <w:bCs/>
          <w:sz w:val="24"/>
        </w:rPr>
      </w:pPr>
      <w:r>
        <w:rPr>
          <w:rFonts w:hint="eastAsia" w:asciiTheme="minorEastAsia" w:hAnsiTheme="minorEastAsia"/>
          <w:b/>
          <w:bCs/>
          <w:sz w:val="24"/>
        </w:rPr>
        <w:t>活动宗旨</w:t>
      </w:r>
    </w:p>
    <w:p>
      <w:pPr>
        <w:spacing w:before="156" w:beforeLines="50"/>
        <w:ind w:firstLine="480" w:firstLineChars="200"/>
        <w:rPr>
          <w:rFonts w:asciiTheme="minorEastAsia" w:hAnsiTheme="minorEastAsia"/>
          <w:sz w:val="24"/>
        </w:rPr>
      </w:pPr>
      <w:r>
        <w:rPr>
          <w:rFonts w:hint="eastAsia" w:asciiTheme="minorEastAsia" w:hAnsiTheme="minorEastAsia"/>
          <w:sz w:val="24"/>
        </w:rPr>
        <w:t>作为经济发展的新亮点，软件将服务于“互联网＋”、“中国制造2025”、 “</w:t>
      </w:r>
      <w:r>
        <w:fldChar w:fldCharType="begin"/>
      </w:r>
      <w:r>
        <w:instrText xml:space="preserve"> HYPERLINK "http://gu.qq.com/jj168201" \t "http://finance.qq.com/a/20150529/_blank" </w:instrText>
      </w:r>
      <w:r>
        <w:fldChar w:fldCharType="separate"/>
      </w:r>
      <w:r>
        <w:rPr>
          <w:rFonts w:hint="eastAsia" w:asciiTheme="minorEastAsia" w:hAnsiTheme="minorEastAsia"/>
          <w:sz w:val="24"/>
        </w:rPr>
        <w:t>一带一路</w:t>
      </w:r>
      <w:r>
        <w:rPr>
          <w:rFonts w:hint="eastAsia" w:asciiTheme="minorEastAsia" w:hAnsiTheme="minorEastAsia"/>
          <w:sz w:val="24"/>
        </w:rPr>
        <w:fldChar w:fldCharType="end"/>
      </w:r>
      <w:r>
        <w:rPr>
          <w:rFonts w:hint="eastAsia" w:asciiTheme="minorEastAsia" w:hAnsiTheme="minorEastAsia"/>
          <w:sz w:val="24"/>
        </w:rPr>
        <w:t>”等国家重大战略、行动计划，在国家扶持政策的推动下，我国软件产业将加速发展，由大变强。作为高成长性产业，软件和金融的创新性融合将为软件产业的飞速发展提供更加强劲的动力。</w:t>
      </w:r>
    </w:p>
    <w:p>
      <w:pPr>
        <w:pStyle w:val="9"/>
        <w:numPr>
          <w:ilvl w:val="0"/>
          <w:numId w:val="1"/>
        </w:numPr>
        <w:spacing w:before="156" w:beforeLines="50"/>
        <w:ind w:firstLine="482"/>
        <w:rPr>
          <w:rFonts w:asciiTheme="minorEastAsia" w:hAnsiTheme="minorEastAsia"/>
          <w:b/>
          <w:bCs/>
          <w:sz w:val="24"/>
        </w:rPr>
      </w:pPr>
      <w:r>
        <w:rPr>
          <w:rFonts w:hint="eastAsia" w:asciiTheme="minorEastAsia" w:hAnsiTheme="minorEastAsia"/>
          <w:b/>
          <w:bCs/>
          <w:sz w:val="24"/>
        </w:rPr>
        <w:t xml:space="preserve">活动对象 </w:t>
      </w:r>
    </w:p>
    <w:p>
      <w:pPr>
        <w:spacing w:before="156" w:beforeLines="50"/>
        <w:ind w:firstLine="480" w:firstLineChars="200"/>
        <w:rPr>
          <w:rFonts w:asciiTheme="minorEastAsia" w:hAnsiTheme="minorEastAsia"/>
          <w:sz w:val="24"/>
        </w:rPr>
      </w:pPr>
      <w:r>
        <w:rPr>
          <w:rFonts w:hint="eastAsia" w:asciiTheme="minorEastAsia" w:hAnsiTheme="minorEastAsia"/>
          <w:sz w:val="24"/>
        </w:rPr>
        <w:t>山东财经大学全体在校生。</w:t>
      </w:r>
    </w:p>
    <w:p>
      <w:pPr>
        <w:pStyle w:val="9"/>
        <w:numPr>
          <w:ilvl w:val="0"/>
          <w:numId w:val="1"/>
        </w:numPr>
        <w:spacing w:before="156" w:beforeLines="50"/>
        <w:ind w:firstLine="482"/>
        <w:rPr>
          <w:rFonts w:asciiTheme="minorEastAsia" w:hAnsiTheme="minorEastAsia"/>
          <w:b/>
          <w:bCs/>
          <w:sz w:val="24"/>
        </w:rPr>
      </w:pPr>
      <w:r>
        <w:rPr>
          <w:rFonts w:hint="eastAsia" w:asciiTheme="minorEastAsia" w:hAnsiTheme="minorEastAsia"/>
          <w:b/>
          <w:bCs/>
          <w:sz w:val="24"/>
        </w:rPr>
        <w:t>比赛内容</w:t>
      </w:r>
    </w:p>
    <w:p>
      <w:pPr>
        <w:spacing w:before="156" w:beforeLines="50"/>
        <w:ind w:firstLine="480" w:firstLineChars="200"/>
        <w:rPr>
          <w:rFonts w:asciiTheme="minorEastAsia" w:hAnsiTheme="minorEastAsia"/>
          <w:sz w:val="24"/>
        </w:rPr>
      </w:pPr>
      <w:r>
        <w:rPr>
          <w:rFonts w:hint="eastAsia" w:asciiTheme="minorEastAsia" w:hAnsiTheme="minorEastAsia"/>
          <w:sz w:val="24"/>
        </w:rPr>
        <w:t xml:space="preserve">本赛事以软件作品形式提交，原则上采取开放选题的方式，由参赛选手自拟题目或者以本年度省级以上赛事作为赛题来源，利用信息技术解决金融领域相关问题，突出信息技术和金融的创新融合。 </w:t>
      </w:r>
    </w:p>
    <w:p>
      <w:pPr>
        <w:pStyle w:val="9"/>
        <w:numPr>
          <w:ilvl w:val="0"/>
          <w:numId w:val="1"/>
        </w:numPr>
        <w:spacing w:before="156" w:beforeLines="50"/>
        <w:ind w:firstLine="482"/>
        <w:rPr>
          <w:rFonts w:asciiTheme="minorEastAsia" w:hAnsiTheme="minorEastAsia"/>
          <w:b/>
          <w:bCs/>
          <w:sz w:val="24"/>
        </w:rPr>
      </w:pPr>
      <w:r>
        <w:rPr>
          <w:rFonts w:hint="eastAsia" w:asciiTheme="minorEastAsia" w:hAnsiTheme="minorEastAsia"/>
          <w:b/>
          <w:bCs/>
          <w:sz w:val="24"/>
        </w:rPr>
        <w:t xml:space="preserve">比赛流程  </w:t>
      </w:r>
    </w:p>
    <w:p>
      <w:pPr>
        <w:spacing w:before="156" w:beforeLines="50"/>
        <w:ind w:firstLine="480" w:firstLineChars="200"/>
        <w:rPr>
          <w:rFonts w:asciiTheme="minorEastAsia" w:hAnsiTheme="minorEastAsia"/>
          <w:sz w:val="24"/>
        </w:rPr>
      </w:pPr>
      <w:r>
        <w:rPr>
          <w:rFonts w:hint="eastAsia" w:asciiTheme="minorEastAsia" w:hAnsiTheme="minorEastAsia"/>
          <w:sz w:val="24"/>
        </w:rPr>
        <w:t>（一）第一阶段：报名和作品提交</w:t>
      </w:r>
    </w:p>
    <w:p>
      <w:pPr>
        <w:spacing w:before="156" w:beforeLines="50"/>
        <w:ind w:firstLine="480" w:firstLineChars="200"/>
        <w:rPr>
          <w:rFonts w:asciiTheme="minorEastAsia" w:hAnsiTheme="minorEastAsia"/>
          <w:sz w:val="24"/>
        </w:rPr>
      </w:pPr>
      <w:r>
        <w:rPr>
          <w:rFonts w:hint="eastAsia" w:asciiTheme="minorEastAsia" w:hAnsiTheme="minorEastAsia"/>
          <w:sz w:val="24"/>
        </w:rPr>
        <w:t>报名截止时间：2017年</w:t>
      </w:r>
      <w:r>
        <w:rPr>
          <w:rFonts w:hint="eastAsia" w:asciiTheme="minorEastAsia" w:hAnsiTheme="minorEastAsia"/>
          <w:sz w:val="24"/>
          <w:lang w:val="en-US" w:eastAsia="zh-CN"/>
        </w:rPr>
        <w:t>7</w:t>
      </w:r>
      <w:r>
        <w:rPr>
          <w:rFonts w:hint="eastAsia" w:asciiTheme="minorEastAsia" w:hAnsiTheme="minorEastAsia"/>
          <w:sz w:val="24"/>
        </w:rPr>
        <w:t>月1</w:t>
      </w:r>
      <w:r>
        <w:rPr>
          <w:rFonts w:hint="eastAsia" w:asciiTheme="minorEastAsia" w:hAnsiTheme="minorEastAsia"/>
          <w:sz w:val="24"/>
          <w:lang w:val="en-US" w:eastAsia="zh-CN"/>
        </w:rPr>
        <w:t>0</w:t>
      </w:r>
      <w:bookmarkStart w:id="0" w:name="_GoBack"/>
      <w:bookmarkEnd w:id="0"/>
      <w:r>
        <w:rPr>
          <w:rFonts w:hint="eastAsia" w:asciiTheme="minorEastAsia" w:hAnsiTheme="minorEastAsia"/>
          <w:sz w:val="24"/>
        </w:rPr>
        <w:t xml:space="preserve">日 </w:t>
      </w:r>
    </w:p>
    <w:p>
      <w:pPr>
        <w:spacing w:before="156" w:beforeLines="50"/>
        <w:ind w:firstLine="480" w:firstLineChars="200"/>
        <w:rPr>
          <w:rFonts w:asciiTheme="minorEastAsia" w:hAnsiTheme="minorEastAsia"/>
          <w:sz w:val="24"/>
        </w:rPr>
      </w:pPr>
      <w:r>
        <w:rPr>
          <w:rFonts w:hint="eastAsia" w:asciiTheme="minorEastAsia" w:hAnsiTheme="minorEastAsia"/>
          <w:sz w:val="24"/>
        </w:rPr>
        <w:t>提交作品截止时间：2017年10月15日</w:t>
      </w:r>
    </w:p>
    <w:p>
      <w:pPr>
        <w:spacing w:before="156" w:beforeLines="50"/>
        <w:ind w:firstLine="480" w:firstLineChars="200"/>
        <w:rPr>
          <w:rFonts w:asciiTheme="minorEastAsia" w:hAnsiTheme="minorEastAsia"/>
          <w:sz w:val="24"/>
        </w:rPr>
      </w:pPr>
      <w:r>
        <w:rPr>
          <w:rFonts w:hint="eastAsia" w:asciiTheme="minorEastAsia" w:hAnsiTheme="minorEastAsia"/>
          <w:sz w:val="24"/>
        </w:rPr>
        <w:t>参赛团队将参赛的软件作品以及相关技术文档（包括但不限于：需求分析、系统设计、详细设计、关键技术）交至大赛组委会，大赛组委会组织有关人员初审，初审合格后即分配给评审专家评审。</w:t>
      </w:r>
    </w:p>
    <w:p>
      <w:pPr>
        <w:spacing w:before="156" w:beforeLines="50"/>
        <w:ind w:firstLine="480" w:firstLineChars="200"/>
        <w:rPr>
          <w:rFonts w:asciiTheme="minorEastAsia" w:hAnsiTheme="minorEastAsia"/>
          <w:sz w:val="24"/>
        </w:rPr>
      </w:pPr>
      <w:r>
        <w:rPr>
          <w:rFonts w:hint="eastAsia" w:asciiTheme="minorEastAsia" w:hAnsiTheme="minorEastAsia"/>
          <w:sz w:val="24"/>
        </w:rPr>
        <w:t>（二）第二阶段：专家评审</w:t>
      </w:r>
    </w:p>
    <w:p>
      <w:pPr>
        <w:spacing w:before="156" w:beforeLines="50"/>
        <w:ind w:firstLine="480" w:firstLineChars="200"/>
        <w:rPr>
          <w:rFonts w:asciiTheme="minorEastAsia" w:hAnsiTheme="minorEastAsia"/>
          <w:sz w:val="24"/>
        </w:rPr>
      </w:pPr>
      <w:r>
        <w:rPr>
          <w:rFonts w:hint="eastAsia" w:asciiTheme="minorEastAsia" w:hAnsiTheme="minorEastAsia"/>
          <w:sz w:val="24"/>
        </w:rPr>
        <w:t>评审时间：2017年10月20日——25日</w:t>
      </w:r>
    </w:p>
    <w:p>
      <w:pPr>
        <w:spacing w:before="156" w:beforeLines="50"/>
        <w:ind w:firstLine="480" w:firstLineChars="200"/>
        <w:rPr>
          <w:rFonts w:asciiTheme="minorEastAsia" w:hAnsiTheme="minorEastAsia"/>
          <w:sz w:val="24"/>
        </w:rPr>
      </w:pPr>
      <w:r>
        <w:rPr>
          <w:rFonts w:hint="eastAsia" w:asciiTheme="minorEastAsia" w:hAnsiTheme="minorEastAsia"/>
          <w:sz w:val="24"/>
        </w:rPr>
        <w:t>大赛组委会组织评审专家对初审通过的作品进行评审，由评审专家打分，根据得分选出入围决赛的作品。</w:t>
      </w:r>
    </w:p>
    <w:p>
      <w:pPr>
        <w:spacing w:before="156" w:beforeLines="50"/>
        <w:ind w:firstLine="480" w:firstLineChars="200"/>
        <w:rPr>
          <w:rFonts w:asciiTheme="minorEastAsia" w:hAnsiTheme="minorEastAsia"/>
          <w:sz w:val="24"/>
        </w:rPr>
      </w:pPr>
      <w:r>
        <w:rPr>
          <w:rFonts w:hint="eastAsia" w:asciiTheme="minorEastAsia" w:hAnsiTheme="minorEastAsia"/>
          <w:sz w:val="24"/>
        </w:rPr>
        <w:t>（三）第三阶段：决赛</w:t>
      </w:r>
    </w:p>
    <w:p>
      <w:pPr>
        <w:spacing w:before="156" w:beforeLines="50"/>
        <w:ind w:firstLine="480" w:firstLineChars="200"/>
        <w:rPr>
          <w:rFonts w:asciiTheme="minorEastAsia" w:hAnsiTheme="minorEastAsia"/>
          <w:sz w:val="24"/>
        </w:rPr>
      </w:pPr>
      <w:r>
        <w:rPr>
          <w:rFonts w:hint="eastAsia" w:asciiTheme="minorEastAsia" w:hAnsiTheme="minorEastAsia"/>
          <w:sz w:val="24"/>
        </w:rPr>
        <w:t>决赛采用现场答辩方式。参赛选手在决赛现场对自己入围决赛的作品进行讲解说明，制作PPT文件并进行演示，时间10分钟以内，大赛组委会组织专家现场评审。</w:t>
      </w:r>
    </w:p>
    <w:p>
      <w:pPr>
        <w:pStyle w:val="9"/>
        <w:numPr>
          <w:ilvl w:val="0"/>
          <w:numId w:val="1"/>
        </w:numPr>
        <w:spacing w:before="156" w:beforeLines="50"/>
        <w:ind w:firstLine="482"/>
        <w:rPr>
          <w:rFonts w:asciiTheme="minorEastAsia" w:hAnsiTheme="minorEastAsia"/>
          <w:b/>
          <w:bCs/>
          <w:sz w:val="24"/>
        </w:rPr>
      </w:pPr>
      <w:r>
        <w:rPr>
          <w:rFonts w:hint="eastAsia" w:asciiTheme="minorEastAsia" w:hAnsiTheme="minorEastAsia"/>
          <w:b/>
          <w:bCs/>
          <w:sz w:val="24"/>
        </w:rPr>
        <w:t>奖励办法</w:t>
      </w:r>
    </w:p>
    <w:p>
      <w:pPr>
        <w:spacing w:before="156" w:beforeLines="50"/>
        <w:ind w:firstLine="480" w:firstLineChars="200"/>
        <w:rPr>
          <w:rFonts w:hint="eastAsia" w:asciiTheme="minorEastAsia" w:hAnsiTheme="minorEastAsia"/>
          <w:sz w:val="24"/>
          <w:szCs w:val="24"/>
        </w:rPr>
      </w:pPr>
      <w:r>
        <w:rPr>
          <w:rFonts w:hint="eastAsia" w:asciiTheme="minorEastAsia" w:hAnsiTheme="minorEastAsia"/>
          <w:sz w:val="24"/>
        </w:rPr>
        <w:t>本次竞赛奖设一等奖两名，二等奖四名，三等奖八名，并颁发荣誉证书。</w:t>
      </w:r>
      <w:r>
        <w:rPr>
          <w:rFonts w:hint="eastAsia" w:asciiTheme="minorEastAsia" w:hAnsiTheme="minorEastAsia"/>
          <w:sz w:val="24"/>
          <w:szCs w:val="24"/>
        </w:rPr>
        <w:t>若参赛</w:t>
      </w:r>
      <w:r>
        <w:rPr>
          <w:rFonts w:hint="eastAsia" w:asciiTheme="minorEastAsia" w:hAnsiTheme="minorEastAsia"/>
          <w:sz w:val="24"/>
          <w:szCs w:val="24"/>
          <w:lang w:eastAsia="zh-CN"/>
        </w:rPr>
        <w:t>人数</w:t>
      </w:r>
      <w:r>
        <w:rPr>
          <w:rFonts w:hint="eastAsia" w:asciiTheme="minorEastAsia" w:hAnsiTheme="minorEastAsia"/>
          <w:sz w:val="24"/>
          <w:szCs w:val="24"/>
        </w:rPr>
        <w:t>少于</w:t>
      </w:r>
      <w:r>
        <w:rPr>
          <w:rFonts w:hint="eastAsia" w:asciiTheme="minorEastAsia" w:hAnsiTheme="minorEastAsia"/>
          <w:sz w:val="24"/>
          <w:szCs w:val="24"/>
          <w:lang w:val="en-US" w:eastAsia="zh-CN"/>
        </w:rPr>
        <w:t>1</w:t>
      </w:r>
      <w:r>
        <w:rPr>
          <w:rFonts w:hint="eastAsia" w:asciiTheme="minorEastAsia" w:hAnsiTheme="minorEastAsia"/>
          <w:sz w:val="24"/>
          <w:szCs w:val="24"/>
        </w:rPr>
        <w:t>5</w:t>
      </w:r>
      <w:r>
        <w:rPr>
          <w:rFonts w:hint="eastAsia" w:asciiTheme="minorEastAsia" w:hAnsiTheme="minorEastAsia"/>
          <w:sz w:val="24"/>
          <w:szCs w:val="24"/>
          <w:lang w:eastAsia="zh-CN"/>
        </w:rPr>
        <w:t>名</w:t>
      </w:r>
      <w:r>
        <w:rPr>
          <w:rFonts w:hint="eastAsia" w:asciiTheme="minorEastAsia" w:hAnsiTheme="minorEastAsia"/>
          <w:sz w:val="24"/>
          <w:szCs w:val="24"/>
        </w:rPr>
        <w:t>，竞赛组委会视情况有权取消本竞赛活动。</w:t>
      </w:r>
    </w:p>
    <w:p>
      <w:pPr>
        <w:spacing w:before="156" w:beforeLines="50"/>
        <w:rPr>
          <w:rFonts w:asciiTheme="minorEastAsia" w:hAnsiTheme="minorEastAsia"/>
          <w:sz w:val="24"/>
        </w:rPr>
      </w:pPr>
    </w:p>
    <w:p>
      <w:pPr>
        <w:spacing w:before="156" w:beforeLines="50" w:line="288" w:lineRule="auto"/>
        <w:ind w:firstLine="480"/>
        <w:jc w:val="left"/>
        <w:rPr>
          <w:rFonts w:ascii="宋体" w:hAnsi="宋体" w:eastAsia="宋体" w:cs="宋体"/>
          <w:color w:val="000000"/>
          <w:sz w:val="24"/>
          <w:shd w:val="clear" w:color="auto" w:fill="FFFFFF"/>
        </w:rPr>
      </w:pPr>
    </w:p>
    <w:p>
      <w:pPr>
        <w:spacing w:before="156" w:beforeLines="50"/>
        <w:ind w:firstLine="480" w:firstLineChars="200"/>
        <w:rPr>
          <w:rFonts w:asciiTheme="minorEastAsia" w:hAnsiTheme="minorEastAsia"/>
          <w:sz w:val="24"/>
        </w:rPr>
      </w:pPr>
      <w:r>
        <w:rPr>
          <w:rFonts w:hint="eastAsia"/>
          <w:sz w:val="24"/>
        </w:rPr>
        <w:t xml:space="preserve">                                   </w:t>
      </w:r>
      <w:r>
        <w:rPr>
          <w:rFonts w:hint="eastAsia" w:asciiTheme="minorEastAsia" w:hAnsiTheme="minorEastAsia"/>
          <w:sz w:val="24"/>
        </w:rPr>
        <w:t>山东财经大学计算机文化节组委会</w:t>
      </w:r>
    </w:p>
    <w:p>
      <w:pPr>
        <w:spacing w:before="156" w:beforeLines="50"/>
        <w:ind w:firstLine="480" w:firstLineChars="200"/>
        <w:rPr>
          <w:sz w:val="24"/>
        </w:rPr>
      </w:pPr>
      <w:r>
        <w:rPr>
          <w:rFonts w:hint="eastAsia" w:asciiTheme="minorEastAsia" w:hAnsiTheme="minorEastAsia"/>
          <w:sz w:val="24"/>
        </w:rPr>
        <w:t xml:space="preserve"> </w:t>
      </w:r>
      <w:r>
        <w:rPr>
          <w:rFonts w:hint="eastAsia" w:asciiTheme="minorEastAsia" w:hAnsiTheme="minorEastAsia"/>
          <w:sz w:val="24"/>
        </w:rPr>
        <w:tab/>
      </w:r>
      <w:r>
        <w:rPr>
          <w:rFonts w:hint="eastAsia" w:asciiTheme="minorEastAsia" w:hAnsiTheme="minorEastAsia"/>
          <w:sz w:val="24"/>
        </w:rPr>
        <w:t xml:space="preserve">                                       2017年</w:t>
      </w:r>
      <w:r>
        <w:rPr>
          <w:rFonts w:hint="eastAsia"/>
          <w:sz w:val="24"/>
          <w:lang w:val="en-US" w:eastAsia="zh-CN"/>
        </w:rPr>
        <w:t>6</w:t>
      </w:r>
      <w:r>
        <w:rPr>
          <w:rFonts w:hint="eastAsia"/>
          <w:sz w:val="24"/>
        </w:rPr>
        <w:t>月1</w:t>
      </w:r>
      <w:r>
        <w:rPr>
          <w:rFonts w:hint="eastAsia"/>
          <w:sz w:val="24"/>
          <w:lang w:val="en-US" w:eastAsia="zh-CN"/>
        </w:rPr>
        <w:t>3</w:t>
      </w:r>
      <w:r>
        <w:rPr>
          <w:rFonts w:hint="eastAsia"/>
          <w:sz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华文行楷">
    <w:panose1 w:val="02010800040101010101"/>
    <w:charset w:val="86"/>
    <w:family w:val="auto"/>
    <w:pitch w:val="default"/>
    <w:sig w:usb0="00000001" w:usb1="080F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Malgun Gothic Semilight">
    <w:altName w:val="宋体"/>
    <w:panose1 w:val="020B0502040204020203"/>
    <w:charset w:val="86"/>
    <w:family w:val="swiss"/>
    <w:pitch w:val="default"/>
    <w:sig w:usb0="00000000" w:usb1="00000000" w:usb2="00000012" w:usb3="00000000" w:csb0="003E01BD" w:csb1="00000000"/>
  </w:font>
  <w:font w:name="MT Extra">
    <w:panose1 w:val="05050102010205020202"/>
    <w:charset w:val="00"/>
    <w:family w:val="auto"/>
    <w:pitch w:val="default"/>
    <w:sig w:usb0="80000000" w:usb1="00000000" w:usb2="00000000" w:usb3="00000000" w:csb0="00000000" w:csb1="00000000"/>
  </w:font>
  <w:font w:name="PMingLiU">
    <w:panose1 w:val="02020500000000000000"/>
    <w:charset w:val="88"/>
    <w:family w:val="auto"/>
    <w:pitch w:val="default"/>
    <w:sig w:usb0="A00002FF" w:usb1="28CFFCFA" w:usb2="00000016" w:usb3="00000000" w:csb0="00100001" w:csb1="00000000"/>
  </w:font>
  <w:font w:name="Microsoft Sans Serif">
    <w:panose1 w:val="020B0604020202020204"/>
    <w:charset w:val="00"/>
    <w:family w:val="auto"/>
    <w:pitch w:val="default"/>
    <w:sig w:usb0="E1002AFF" w:usb1="C0000002" w:usb2="00000008" w:usb3="00000000" w:csb0="200101FF" w:csb1="2028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DFKai-SB">
    <w:panose1 w:val="03000509000000000000"/>
    <w:charset w:val="88"/>
    <w:family w:val="script"/>
    <w:pitch w:val="default"/>
    <w:sig w:usb0="00000003" w:usb1="082E0000" w:usb2="00000016" w:usb3="00000000" w:csb0="00100001" w:csb1="00000000"/>
  </w:font>
  <w:font w:name="Verdana">
    <w:panose1 w:val="020B0604030504040204"/>
    <w:charset w:val="00"/>
    <w:family w:val="swiss"/>
    <w:pitch w:val="default"/>
    <w:sig w:usb0="A10006FF" w:usb1="4000205B" w:usb2="00000010" w:usb3="00000000" w:csb0="2000019F" w:csb1="00000000"/>
  </w:font>
  <w:font w:name="MingLiU">
    <w:panose1 w:val="02020509000000000000"/>
    <w:charset w:val="88"/>
    <w:family w:val="auto"/>
    <w:pitch w:val="default"/>
    <w:sig w:usb0="A00002FF" w:usb1="28CFFCFA" w:usb2="00000016" w:usb3="00000000" w:csb0="0010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226120"/>
    <w:multiLevelType w:val="singleLevel"/>
    <w:tmpl w:val="59226120"/>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182813"/>
    <w:rsid w:val="00030577"/>
    <w:rsid w:val="000A202A"/>
    <w:rsid w:val="002E00DE"/>
    <w:rsid w:val="00336C96"/>
    <w:rsid w:val="005D672F"/>
    <w:rsid w:val="006F6A89"/>
    <w:rsid w:val="00710996"/>
    <w:rsid w:val="00711728"/>
    <w:rsid w:val="00946601"/>
    <w:rsid w:val="00E63280"/>
    <w:rsid w:val="04665E9E"/>
    <w:rsid w:val="053630A6"/>
    <w:rsid w:val="08862257"/>
    <w:rsid w:val="11391845"/>
    <w:rsid w:val="159B6C4E"/>
    <w:rsid w:val="27AC7F6A"/>
    <w:rsid w:val="29C81B61"/>
    <w:rsid w:val="30B73D14"/>
    <w:rsid w:val="3C182813"/>
    <w:rsid w:val="481A576D"/>
    <w:rsid w:val="5709653B"/>
    <w:rsid w:val="5D3C39C1"/>
    <w:rsid w:val="6B462ADD"/>
    <w:rsid w:val="7AE32C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1"/>
    <w:qFormat/>
    <w:uiPriority w:val="0"/>
    <w:rPr>
      <w:b/>
      <w:bCs/>
    </w:rPr>
  </w:style>
  <w:style w:type="paragraph" w:styleId="3">
    <w:name w:val="annotation text"/>
    <w:basedOn w:val="1"/>
    <w:link w:val="10"/>
    <w:qFormat/>
    <w:uiPriority w:val="0"/>
    <w:pPr>
      <w:jc w:val="left"/>
    </w:pPr>
  </w:style>
  <w:style w:type="paragraph" w:styleId="4">
    <w:name w:val="Balloon Text"/>
    <w:basedOn w:val="1"/>
    <w:link w:val="12"/>
    <w:qFormat/>
    <w:uiPriority w:val="0"/>
    <w:rPr>
      <w:sz w:val="18"/>
      <w:szCs w:val="18"/>
    </w:rPr>
  </w:style>
  <w:style w:type="character" w:styleId="6">
    <w:name w:val="Hyperlink"/>
    <w:basedOn w:val="5"/>
    <w:qFormat/>
    <w:uiPriority w:val="0"/>
    <w:rPr>
      <w:color w:val="0000FF"/>
      <w:u w:val="single"/>
    </w:rPr>
  </w:style>
  <w:style w:type="character" w:styleId="7">
    <w:name w:val="annotation reference"/>
    <w:basedOn w:val="5"/>
    <w:qFormat/>
    <w:uiPriority w:val="0"/>
    <w:rPr>
      <w:sz w:val="21"/>
      <w:szCs w:val="21"/>
    </w:rPr>
  </w:style>
  <w:style w:type="paragraph" w:customStyle="1" w:styleId="9">
    <w:name w:val="列出段落1"/>
    <w:basedOn w:val="1"/>
    <w:qFormat/>
    <w:uiPriority w:val="34"/>
    <w:pPr>
      <w:ind w:firstLine="420" w:firstLineChars="200"/>
    </w:pPr>
  </w:style>
  <w:style w:type="character" w:customStyle="1" w:styleId="10">
    <w:name w:val="批注文字 字符"/>
    <w:basedOn w:val="5"/>
    <w:link w:val="3"/>
    <w:qFormat/>
    <w:uiPriority w:val="0"/>
    <w:rPr>
      <w:rFonts w:asciiTheme="minorHAnsi" w:hAnsiTheme="minorHAnsi" w:eastAsiaTheme="minorEastAsia" w:cstheme="minorBidi"/>
      <w:kern w:val="2"/>
      <w:sz w:val="21"/>
      <w:szCs w:val="24"/>
    </w:rPr>
  </w:style>
  <w:style w:type="character" w:customStyle="1" w:styleId="11">
    <w:name w:val="批注主题 字符"/>
    <w:basedOn w:val="10"/>
    <w:link w:val="2"/>
    <w:qFormat/>
    <w:uiPriority w:val="0"/>
    <w:rPr>
      <w:rFonts w:asciiTheme="minorHAnsi" w:hAnsiTheme="minorHAnsi" w:eastAsiaTheme="minorEastAsia" w:cstheme="minorBidi"/>
      <w:b/>
      <w:bCs/>
      <w:kern w:val="2"/>
      <w:sz w:val="21"/>
      <w:szCs w:val="24"/>
    </w:rPr>
  </w:style>
  <w:style w:type="character" w:customStyle="1" w:styleId="12">
    <w:name w:val="批注框文本 字符"/>
    <w:basedOn w:val="5"/>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161</Words>
  <Characters>923</Characters>
  <Lines>7</Lines>
  <Paragraphs>2</Paragraphs>
  <ScaleCrop>false</ScaleCrop>
  <LinksUpToDate>false</LinksUpToDate>
  <CharactersWithSpaces>1082</CharactersWithSpaces>
  <Application>WPS Office_10.1.0.6490_F1E327BC-269C-435d-A152-05C5408002CA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2017-05-15T01:41:00Z</dcterms:created>
  <dc:creator>lenovo</dc:creator>
  <cp:lastModifiedBy>lenovo</cp:lastModifiedBy>
  <dcterms:modified xsi:type="dcterms:W3CDTF">2017-06-13T03:16:20Z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