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tLeast"/>
        <w:jc w:val="center"/>
        <w:rPr>
          <w:rFonts w:ascii="黑体" w:hAnsi="黑体" w:eastAsia="黑体" w:cs="黑体"/>
          <w:sz w:val="30"/>
          <w:szCs w:val="30"/>
        </w:rPr>
      </w:pPr>
      <w:r>
        <w:rPr>
          <w:rFonts w:hint="eastAsia" w:ascii="黑体" w:hAnsi="黑体" w:eastAsia="黑体" w:cs="黑体"/>
          <w:sz w:val="30"/>
          <w:szCs w:val="30"/>
        </w:rPr>
        <w:t>山东财经大学计算机文化节</w:t>
      </w:r>
    </w:p>
    <w:p>
      <w:pPr>
        <w:spacing w:line="240" w:lineRule="atLeast"/>
        <w:jc w:val="center"/>
        <w:rPr>
          <w:rFonts w:ascii="黑体" w:hAnsi="黑体" w:eastAsia="黑体" w:cs="黑体"/>
          <w:sz w:val="30"/>
          <w:szCs w:val="30"/>
        </w:rPr>
      </w:pPr>
      <w:r>
        <w:rPr>
          <w:rFonts w:hint="eastAsia" w:ascii="黑体" w:hAnsi="黑体" w:eastAsia="黑体" w:cs="黑体"/>
          <w:sz w:val="30"/>
          <w:szCs w:val="30"/>
        </w:rPr>
        <w:t>金融信息创新大赛（量化投资建模大赛）</w:t>
      </w:r>
    </w:p>
    <w:p>
      <w:pPr>
        <w:spacing w:before="156" w:beforeLines="50"/>
        <w:ind w:firstLine="480" w:firstLineChars="200"/>
        <w:rPr>
          <w:rFonts w:asciiTheme="minorEastAsia" w:hAnsiTheme="minorEastAsia"/>
          <w:sz w:val="24"/>
        </w:rPr>
      </w:pPr>
      <w:r>
        <w:rPr>
          <w:rFonts w:hint="eastAsia" w:asciiTheme="minorEastAsia" w:hAnsiTheme="minorEastAsia"/>
          <w:sz w:val="24"/>
        </w:rPr>
        <w:t>最近10年来，量化投资已经成为欧美市场发展的热点和焦点，一举成为国际投资界的一个新方法，发展势头迅猛，和基本面分析、技术分析并称为三大主流方法。由于量化投资交易策略的业绩稳定，其市场规模和份额不断扩大，各投资机构纷纷着手打造各自的量化投资精英团队。</w:t>
      </w:r>
    </w:p>
    <w:p>
      <w:pPr>
        <w:spacing w:before="156" w:beforeLines="50"/>
        <w:ind w:firstLine="480" w:firstLineChars="200"/>
        <w:rPr>
          <w:rFonts w:asciiTheme="minorEastAsia" w:hAnsiTheme="minorEastAsia"/>
          <w:sz w:val="24"/>
        </w:rPr>
      </w:pPr>
      <w:r>
        <w:rPr>
          <w:rFonts w:hint="eastAsia" w:asciiTheme="minorEastAsia" w:hAnsiTheme="minorEastAsia"/>
          <w:sz w:val="24"/>
        </w:rPr>
        <w:t>量化投资是将投资理念通过指标、参数的设计，融入到具体的模型中，用模型对市场进行不带任何情绪的跟踪，简单而言，就是用数量化的方法对股票、期货等投资对象进行估值，选取适合的对象进行投资。量化投资只利用公开数据，通过数学模型的运算挖掘出公开数据后面的信息，从而战胜市场，从方法论上就杜绝内幕消息的可能。</w:t>
      </w:r>
    </w:p>
    <w:p>
      <w:pPr>
        <w:spacing w:before="156" w:beforeLines="50"/>
        <w:ind w:firstLine="480" w:firstLineChars="200"/>
        <w:rPr>
          <w:rFonts w:asciiTheme="minorEastAsia" w:hAnsiTheme="minorEastAsia"/>
          <w:sz w:val="24"/>
        </w:rPr>
      </w:pPr>
      <w:r>
        <w:rPr>
          <w:rFonts w:hint="eastAsia" w:asciiTheme="minorEastAsia" w:hAnsiTheme="minorEastAsia"/>
          <w:sz w:val="24"/>
        </w:rPr>
        <w:t>随着我国市场有效性的提高，我国开始进入半强有效市场阶段，再加上监管层对内幕消息的监管越来越严厉，使得获取非公开信息的方式越来越难，因此量化投资就成为了一个最好的投资科学理论和技术。通过这次参加比赛，使参赛者切身体会量化投资市场，在提升能力水平的同时，也将为今后的发展增加了一个选择方向。</w:t>
      </w:r>
    </w:p>
    <w:p>
      <w:pPr>
        <w:pStyle w:val="11"/>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竞赛目的</w:t>
      </w:r>
    </w:p>
    <w:p>
      <w:pPr>
        <w:spacing w:before="156" w:beforeLines="50"/>
        <w:ind w:firstLine="480" w:firstLineChars="200"/>
        <w:rPr>
          <w:rFonts w:asciiTheme="minorEastAsia" w:hAnsiTheme="minorEastAsia"/>
          <w:sz w:val="24"/>
        </w:rPr>
      </w:pPr>
      <w:r>
        <w:rPr>
          <w:rFonts w:hint="eastAsia" w:asciiTheme="minorEastAsia" w:hAnsiTheme="minorEastAsia"/>
          <w:sz w:val="24"/>
        </w:rPr>
        <w:t>本项比赛以量化投资为课题展开，参赛者需要将计算机、数学、金融等多种学科融合在一起构建量化模型。通过参与比赛提高数学建模、计算机编程、金融投资等多方面的技巧和能力。促进学生对量化投资的了解，提高高校学生的就业水平。对于成绩优秀的参赛者，提供私募基金实习的机会。</w:t>
      </w:r>
    </w:p>
    <w:p>
      <w:pPr>
        <w:spacing w:before="156" w:beforeLines="50"/>
        <w:ind w:firstLine="480" w:firstLineChars="200"/>
        <w:rPr>
          <w:rFonts w:asciiTheme="minorEastAsia" w:hAnsiTheme="minorEastAsia"/>
          <w:sz w:val="24"/>
        </w:rPr>
      </w:pPr>
      <w:r>
        <w:rPr>
          <w:rFonts w:hint="eastAsia" w:asciiTheme="minorEastAsia" w:hAnsiTheme="minorEastAsia"/>
          <w:sz w:val="24"/>
        </w:rPr>
        <w:t>通过竞赛，进一步促进专业教学内容更新与教学方法改革，深化校企合作，引导专业教学方向调整，以适应金融与计算机技术结合发展的趋势，进一步促进金融信息化技术的普及。活动宗旨</w:t>
      </w:r>
    </w:p>
    <w:p>
      <w:pPr>
        <w:pStyle w:val="11"/>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 xml:space="preserve">活动对象 </w:t>
      </w:r>
    </w:p>
    <w:p>
      <w:pPr>
        <w:spacing w:before="156" w:beforeLines="50"/>
        <w:ind w:firstLine="480" w:firstLineChars="200"/>
        <w:rPr>
          <w:rFonts w:asciiTheme="minorEastAsia" w:hAnsiTheme="minorEastAsia"/>
          <w:sz w:val="24"/>
        </w:rPr>
      </w:pPr>
      <w:r>
        <w:rPr>
          <w:rFonts w:hint="eastAsia" w:asciiTheme="minorEastAsia" w:hAnsiTheme="minorEastAsia"/>
          <w:sz w:val="24"/>
        </w:rPr>
        <w:t>山东财经大学全体在校生。</w:t>
      </w:r>
    </w:p>
    <w:p>
      <w:pPr>
        <w:pStyle w:val="11"/>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比赛内容</w:t>
      </w:r>
    </w:p>
    <w:p>
      <w:pPr>
        <w:spacing w:before="156" w:beforeLines="50"/>
        <w:ind w:firstLine="480" w:firstLineChars="200"/>
        <w:rPr>
          <w:rFonts w:asciiTheme="minorEastAsia" w:hAnsiTheme="minorEastAsia"/>
          <w:sz w:val="24"/>
        </w:rPr>
      </w:pPr>
      <w:r>
        <w:rPr>
          <w:rFonts w:hint="eastAsia" w:asciiTheme="minorEastAsia" w:hAnsiTheme="minorEastAsia"/>
          <w:sz w:val="24"/>
        </w:rPr>
        <w:t>本项比赛包括但不限于以下四个课题，参赛选手可以根据自身知识水平自拟课题。</w:t>
      </w:r>
    </w:p>
    <w:p>
      <w:pPr>
        <w:spacing w:before="156" w:beforeLines="50"/>
        <w:ind w:firstLine="480" w:firstLineChars="200"/>
        <w:rPr>
          <w:rFonts w:asciiTheme="minorEastAsia" w:hAnsiTheme="minorEastAsia"/>
          <w:sz w:val="24"/>
        </w:rPr>
      </w:pPr>
      <w:r>
        <w:rPr>
          <w:rFonts w:hint="eastAsia" w:asciiTheme="minorEastAsia" w:hAnsiTheme="minorEastAsia"/>
          <w:sz w:val="24"/>
        </w:rPr>
        <w:t>1、股票程序化选股模型</w:t>
      </w:r>
    </w:p>
    <w:p>
      <w:pPr>
        <w:spacing w:before="156" w:beforeLines="50"/>
        <w:ind w:firstLine="480" w:firstLineChars="200"/>
        <w:rPr>
          <w:rFonts w:asciiTheme="minorEastAsia" w:hAnsiTheme="minorEastAsia"/>
          <w:sz w:val="24"/>
        </w:rPr>
      </w:pPr>
      <w:r>
        <w:rPr>
          <w:rFonts w:hint="eastAsia" w:asciiTheme="minorEastAsia" w:hAnsiTheme="minorEastAsia"/>
          <w:sz w:val="24"/>
        </w:rPr>
        <w:t>简介：股票程序化选股模型就是利用数量化的方法对技术面数据或者基本面数据进行量化分析，并建立策略模型。股票程序化中包括逻辑分析、模型建立、组合投资优化、程序化交易等。此方向使用文化财经量化平台进行开发建模，所用编程语言与主流股票软件条件选股公式类似（在后者基础之上加入了交易指令）。该专题编程要求相对较低，核心部分在于交易思想逻辑的构建过程。</w:t>
      </w:r>
    </w:p>
    <w:p>
      <w:pPr>
        <w:spacing w:before="156" w:beforeLines="50"/>
        <w:ind w:firstLine="480" w:firstLineChars="200"/>
        <w:rPr>
          <w:rFonts w:asciiTheme="minorEastAsia" w:hAnsiTheme="minorEastAsia"/>
          <w:sz w:val="24"/>
        </w:rPr>
      </w:pPr>
      <w:r>
        <w:rPr>
          <w:rFonts w:hint="eastAsia" w:asciiTheme="minorEastAsia" w:hAnsiTheme="minorEastAsia"/>
          <w:sz w:val="24"/>
        </w:rPr>
        <w:t>比赛要求：参赛者使用文华财经/MC/Wind/量化平台，通过技术分析和基本面分析选取股票池，并针对所选股票池设计量化交易模型。要求构建量化模型时模型训练集数据不少于3年，测试集数据不小于1年，年化单利收益/最大回撤比&gt;=3，不限制资金使用比率。</w:t>
      </w:r>
    </w:p>
    <w:p>
      <w:pPr>
        <w:spacing w:before="156" w:beforeLines="50"/>
        <w:ind w:firstLine="480" w:firstLineChars="200"/>
        <w:rPr>
          <w:rFonts w:asciiTheme="minorEastAsia" w:hAnsiTheme="minorEastAsia"/>
          <w:sz w:val="24"/>
        </w:rPr>
      </w:pPr>
      <w:r>
        <w:rPr>
          <w:rFonts w:hint="eastAsia" w:asciiTheme="minorEastAsia" w:hAnsiTheme="minorEastAsia"/>
          <w:sz w:val="24"/>
        </w:rPr>
        <w:t>数据来源：文华财经/MC/Wind平台提供所需数据</w:t>
      </w:r>
    </w:p>
    <w:p>
      <w:pPr>
        <w:spacing w:before="156" w:beforeLines="50"/>
        <w:ind w:firstLine="480" w:firstLineChars="200"/>
        <w:rPr>
          <w:rFonts w:asciiTheme="minorEastAsia" w:hAnsiTheme="minorEastAsia"/>
          <w:sz w:val="24"/>
        </w:rPr>
      </w:pPr>
      <w:r>
        <w:rPr>
          <w:rFonts w:hint="eastAsia" w:asciiTheme="minorEastAsia" w:hAnsiTheme="minorEastAsia"/>
          <w:sz w:val="24"/>
        </w:rPr>
        <w:t>参考资料：</w:t>
      </w:r>
    </w:p>
    <w:p>
      <w:pPr>
        <w:spacing w:before="156" w:beforeLines="50"/>
        <w:ind w:left="1260" w:leftChars="600" w:firstLine="480" w:firstLineChars="200"/>
        <w:rPr>
          <w:rFonts w:asciiTheme="minorEastAsia" w:hAnsiTheme="minorEastAsia"/>
          <w:sz w:val="24"/>
        </w:rPr>
      </w:pPr>
      <w:r>
        <w:rPr>
          <w:rFonts w:hint="eastAsia" w:asciiTheme="minorEastAsia" w:hAnsiTheme="minorEastAsia"/>
          <w:sz w:val="24"/>
        </w:rPr>
        <w:t>http://cxh.wenhua.com.cn/download.asp?pid=2</w:t>
      </w:r>
    </w:p>
    <w:p>
      <w:pPr>
        <w:spacing w:before="156" w:beforeLines="50"/>
        <w:ind w:left="1260" w:leftChars="600" w:firstLine="480" w:firstLineChars="200"/>
        <w:rPr>
          <w:rFonts w:asciiTheme="minorEastAsia" w:hAnsiTheme="minorEastAsia"/>
          <w:sz w:val="24"/>
        </w:rPr>
      </w:pPr>
      <w:r>
        <w:rPr>
          <w:rFonts w:hint="eastAsia" w:asciiTheme="minorEastAsia" w:hAnsiTheme="minorEastAsia"/>
          <w:sz w:val="24"/>
        </w:rPr>
        <w:t>http://www.multicharts.cn/tutorial</w:t>
      </w:r>
    </w:p>
    <w:p>
      <w:pPr>
        <w:spacing w:before="156" w:beforeLines="50"/>
        <w:ind w:left="1260" w:leftChars="600" w:firstLine="480" w:firstLineChars="200"/>
        <w:rPr>
          <w:rFonts w:asciiTheme="minorEastAsia" w:hAnsiTheme="minorEastAsia"/>
          <w:sz w:val="24"/>
        </w:rPr>
      </w:pPr>
      <w:r>
        <w:rPr>
          <w:rFonts w:hint="eastAsia" w:asciiTheme="minorEastAsia" w:hAnsiTheme="minorEastAsia"/>
          <w:sz w:val="24"/>
        </w:rPr>
        <w:t>http://www.wind.com.cn/</w:t>
      </w:r>
    </w:p>
    <w:p>
      <w:pPr>
        <w:spacing w:before="156" w:beforeLines="50"/>
        <w:ind w:firstLine="480" w:firstLineChars="200"/>
        <w:rPr>
          <w:rFonts w:asciiTheme="minorEastAsia" w:hAnsiTheme="minorEastAsia"/>
          <w:sz w:val="24"/>
        </w:rPr>
      </w:pPr>
      <w:r>
        <w:rPr>
          <w:rFonts w:hint="eastAsia" w:asciiTheme="minorEastAsia" w:hAnsiTheme="minorEastAsia"/>
          <w:sz w:val="24"/>
        </w:rPr>
        <w:t>2、基于数据挖掘技术建立量化选股模型</w:t>
      </w:r>
    </w:p>
    <w:p>
      <w:pPr>
        <w:spacing w:before="156" w:beforeLines="50"/>
        <w:ind w:firstLine="480" w:firstLineChars="200"/>
        <w:rPr>
          <w:rFonts w:asciiTheme="minorEastAsia" w:hAnsiTheme="minorEastAsia"/>
          <w:sz w:val="24"/>
        </w:rPr>
      </w:pPr>
      <w:r>
        <w:rPr>
          <w:rFonts w:hint="eastAsia" w:asciiTheme="minorEastAsia" w:hAnsiTheme="minorEastAsia"/>
          <w:sz w:val="24"/>
        </w:rPr>
        <w:t>简介：数据挖掘技术是量化投资领域的一个重要技术手段，主要方法包括：关联规则法、数据回归法、分类方法、聚类方法、预测方法、诊断方法、智能优化方法。基于数据挖掘技术建立量化选股模型就是利用数据挖掘技术对股票数据进行分析，建立选股模型以获取超额收益。例如，可以使用聚类方法对股票进行聚类，从而对股票进行分池，选股的时候就可以从上涨概率比较大的池子中选择股票。再比如可以利用神经网络预测股票的涨跌概率、利用支持向量机进行量化择时。</w:t>
      </w:r>
    </w:p>
    <w:p>
      <w:pPr>
        <w:spacing w:before="156" w:beforeLines="50"/>
        <w:ind w:firstLine="480" w:firstLineChars="200"/>
        <w:rPr>
          <w:rFonts w:asciiTheme="minorEastAsia" w:hAnsiTheme="minorEastAsia"/>
          <w:sz w:val="24"/>
        </w:rPr>
      </w:pPr>
      <w:r>
        <w:rPr>
          <w:rFonts w:hint="eastAsia" w:asciiTheme="minorEastAsia" w:hAnsiTheme="minorEastAsia"/>
          <w:sz w:val="24"/>
        </w:rPr>
        <w:t>比赛要求：参赛者使用matlab平台，通过数据挖掘技术构建股票模型，并自主设计回测系统测试所构造的模型。要求构建量化模型时模型训练集数据不少于2年，测试集数据不小于1年，调仓频率小于30天，年化单利收益/最大回撤比&gt;=3，不限制资金使用比率。参考方向：</w:t>
      </w:r>
    </w:p>
    <w:p>
      <w:pPr>
        <w:pStyle w:val="20"/>
        <w:numPr>
          <w:ilvl w:val="0"/>
          <w:numId w:val="2"/>
        </w:numPr>
        <w:spacing w:before="156" w:beforeLines="50"/>
        <w:ind w:firstLineChars="0"/>
        <w:rPr>
          <w:rFonts w:asciiTheme="minorEastAsia" w:hAnsiTheme="minorEastAsia"/>
          <w:sz w:val="24"/>
        </w:rPr>
      </w:pPr>
      <w:r>
        <w:rPr>
          <w:rFonts w:hint="eastAsia" w:asciiTheme="minorEastAsia" w:hAnsiTheme="minorEastAsia"/>
          <w:sz w:val="24"/>
        </w:rPr>
        <w:t>行业关联规则选股模型</w:t>
      </w:r>
    </w:p>
    <w:p>
      <w:pPr>
        <w:pStyle w:val="20"/>
        <w:numPr>
          <w:ilvl w:val="0"/>
          <w:numId w:val="2"/>
        </w:numPr>
        <w:spacing w:before="156" w:beforeLines="50"/>
        <w:ind w:firstLineChars="0"/>
        <w:rPr>
          <w:rFonts w:asciiTheme="minorEastAsia" w:hAnsiTheme="minorEastAsia"/>
          <w:sz w:val="24"/>
        </w:rPr>
      </w:pPr>
      <w:r>
        <w:rPr>
          <w:rFonts w:hint="eastAsia" w:asciiTheme="minorEastAsia" w:hAnsiTheme="minorEastAsia"/>
          <w:sz w:val="24"/>
        </w:rPr>
        <w:t>基于LB算法/集成学习的分类选股模型</w:t>
      </w:r>
    </w:p>
    <w:p>
      <w:pPr>
        <w:pStyle w:val="20"/>
        <w:numPr>
          <w:ilvl w:val="0"/>
          <w:numId w:val="2"/>
        </w:numPr>
        <w:spacing w:before="156" w:beforeLines="50"/>
        <w:ind w:firstLineChars="0"/>
        <w:rPr>
          <w:rFonts w:asciiTheme="minorEastAsia" w:hAnsiTheme="minorEastAsia"/>
          <w:sz w:val="24"/>
        </w:rPr>
      </w:pPr>
      <w:r>
        <w:rPr>
          <w:rFonts w:hint="eastAsia" w:asciiTheme="minorEastAsia" w:hAnsiTheme="minorEastAsia"/>
          <w:sz w:val="24"/>
        </w:rPr>
        <w:t>股票聚类分池模型</w:t>
      </w:r>
    </w:p>
    <w:p>
      <w:pPr>
        <w:pStyle w:val="20"/>
        <w:numPr>
          <w:ilvl w:val="0"/>
          <w:numId w:val="2"/>
        </w:numPr>
        <w:spacing w:before="156" w:beforeLines="50"/>
        <w:ind w:firstLineChars="0"/>
        <w:rPr>
          <w:rFonts w:asciiTheme="minorEastAsia" w:hAnsiTheme="minorEastAsia"/>
          <w:sz w:val="24"/>
        </w:rPr>
      </w:pPr>
      <w:r>
        <w:rPr>
          <w:rFonts w:hint="eastAsia" w:asciiTheme="minorEastAsia" w:hAnsiTheme="minorEastAsia"/>
          <w:sz w:val="24"/>
        </w:rPr>
        <w:t>大盘走势预测（基于：神经网络、支持向量机、马尔科夫链、时间序列分析）</w:t>
      </w:r>
    </w:p>
    <w:p>
      <w:pPr>
        <w:pStyle w:val="20"/>
        <w:numPr>
          <w:ilvl w:val="0"/>
          <w:numId w:val="2"/>
        </w:numPr>
        <w:spacing w:before="156" w:beforeLines="50"/>
        <w:ind w:firstLineChars="0"/>
        <w:rPr>
          <w:rFonts w:asciiTheme="minorEastAsia" w:hAnsiTheme="minorEastAsia"/>
          <w:sz w:val="24"/>
        </w:rPr>
      </w:pPr>
      <w:r>
        <w:rPr>
          <w:rFonts w:hint="eastAsia" w:asciiTheme="minorEastAsia" w:hAnsiTheme="minorEastAsia"/>
          <w:sz w:val="24"/>
        </w:rPr>
        <w:t>基于SVM/离群点诊断的量化择时模型</w:t>
      </w:r>
    </w:p>
    <w:p>
      <w:pPr>
        <w:spacing w:before="156" w:beforeLines="50"/>
        <w:ind w:firstLine="480" w:firstLineChars="200"/>
        <w:rPr>
          <w:rFonts w:asciiTheme="minorEastAsia" w:hAnsiTheme="minorEastAsia"/>
          <w:sz w:val="24"/>
        </w:rPr>
      </w:pPr>
      <w:r>
        <w:rPr>
          <w:rFonts w:hint="eastAsia" w:asciiTheme="minorEastAsia" w:hAnsiTheme="minorEastAsia"/>
          <w:sz w:val="24"/>
        </w:rPr>
        <w:t>数据来源：</w:t>
      </w:r>
    </w:p>
    <w:p>
      <w:pPr>
        <w:spacing w:before="156" w:beforeLines="50"/>
        <w:ind w:left="1200" w:firstLine="480" w:firstLineChars="200"/>
        <w:rPr>
          <w:rFonts w:asciiTheme="minorEastAsia" w:hAnsiTheme="minorEastAsia"/>
          <w:sz w:val="24"/>
        </w:rPr>
      </w:pPr>
      <w:r>
        <w:rPr>
          <w:rFonts w:hint="eastAsia" w:asciiTheme="minorEastAsia" w:hAnsiTheme="minorEastAsia"/>
          <w:sz w:val="24"/>
        </w:rPr>
        <w:t>参考数据获取文档使用说明中的：（1）、（2）、（7）或者其他数据来源</w:t>
      </w:r>
    </w:p>
    <w:p>
      <w:pPr>
        <w:spacing w:before="156" w:beforeLines="50"/>
        <w:ind w:firstLine="480" w:firstLineChars="200"/>
        <w:rPr>
          <w:rFonts w:asciiTheme="minorEastAsia" w:hAnsiTheme="minorEastAsia"/>
          <w:sz w:val="24"/>
        </w:rPr>
      </w:pPr>
      <w:r>
        <w:rPr>
          <w:rFonts w:hint="eastAsia" w:asciiTheme="minorEastAsia" w:hAnsiTheme="minorEastAsia"/>
          <w:sz w:val="24"/>
        </w:rPr>
        <w:t>参考资料：</w:t>
      </w:r>
    </w:p>
    <w:p>
      <w:pPr>
        <w:spacing w:before="156" w:beforeLines="50"/>
        <w:ind w:left="1260" w:leftChars="600" w:firstLine="480" w:firstLineChars="200"/>
        <w:rPr>
          <w:rFonts w:asciiTheme="minorEastAsia" w:hAnsiTheme="minorEastAsia"/>
          <w:sz w:val="24"/>
        </w:rPr>
      </w:pPr>
      <w:r>
        <w:rPr>
          <w:rFonts w:hint="eastAsia" w:asciiTheme="minorEastAsia" w:hAnsiTheme="minorEastAsia"/>
          <w:sz w:val="24"/>
        </w:rPr>
        <w:t>数据挖掘：概念与技术（韩家炜）</w:t>
      </w:r>
    </w:p>
    <w:p>
      <w:pPr>
        <w:spacing w:before="156" w:beforeLines="50"/>
        <w:ind w:left="1260" w:leftChars="600" w:firstLine="480" w:firstLineChars="200"/>
        <w:rPr>
          <w:rFonts w:asciiTheme="minorEastAsia" w:hAnsiTheme="minorEastAsia"/>
          <w:sz w:val="24"/>
        </w:rPr>
      </w:pPr>
      <w:r>
        <w:rPr>
          <w:rFonts w:hint="eastAsia" w:asciiTheme="minorEastAsia" w:hAnsiTheme="minorEastAsia"/>
          <w:sz w:val="24"/>
        </w:rPr>
        <w:t>Matlab数据分析与挖掘实战</w:t>
      </w:r>
    </w:p>
    <w:p>
      <w:pPr>
        <w:spacing w:before="156" w:beforeLines="50"/>
        <w:ind w:firstLine="480" w:firstLineChars="200"/>
        <w:rPr>
          <w:rFonts w:asciiTheme="minorEastAsia" w:hAnsiTheme="minorEastAsia"/>
          <w:sz w:val="24"/>
        </w:rPr>
      </w:pPr>
      <w:r>
        <w:rPr>
          <w:rFonts w:hint="eastAsia" w:asciiTheme="minorEastAsia" w:hAnsiTheme="minorEastAsia"/>
          <w:sz w:val="24"/>
        </w:rPr>
        <w:t>3、基于多因子的alpha模型</w:t>
      </w:r>
    </w:p>
    <w:p>
      <w:pPr>
        <w:spacing w:before="156" w:beforeLines="50"/>
        <w:ind w:firstLine="480" w:firstLineChars="200"/>
        <w:rPr>
          <w:rFonts w:asciiTheme="minorEastAsia" w:hAnsiTheme="minorEastAsia"/>
          <w:sz w:val="24"/>
        </w:rPr>
      </w:pPr>
      <w:r>
        <w:rPr>
          <w:rFonts w:hint="eastAsia" w:asciiTheme="minorEastAsia" w:hAnsiTheme="minorEastAsia"/>
          <w:sz w:val="24"/>
        </w:rPr>
        <w:t>股票alpha策略是一种广泛应用的对冲策略，其核心思想是选取能够超越基准的股票组合，在持有股票多头的同时卖出股指期货以对冲掉股票的beta,获取超额收益。多因子是最常见的一种alpha选股策略，其基本原理是采用一系列的因子作为选股标准，再利用回归法或者打分法构建目标函数，从而从整个股票市场中选择出高alpha的股票。该方向建模平台为：MATLAB/优矿/聚宽</w:t>
      </w:r>
    </w:p>
    <w:p>
      <w:pPr>
        <w:spacing w:before="156" w:beforeLines="50"/>
        <w:ind w:firstLine="480" w:firstLineChars="200"/>
        <w:rPr>
          <w:rFonts w:asciiTheme="minorEastAsia" w:hAnsiTheme="minorEastAsia"/>
          <w:sz w:val="24"/>
        </w:rPr>
      </w:pPr>
      <w:r>
        <w:rPr>
          <w:rFonts w:hint="eastAsia" w:asciiTheme="minorEastAsia" w:hAnsiTheme="minorEastAsia"/>
          <w:sz w:val="24"/>
        </w:rPr>
        <w:t>比赛要求：参赛者使用MATLAB/优矿/聚宽平台，首先设计出因子选择模型（从因子库中选择建模所需的因子），然后利用打分法构建多因子选股模型并利用量化平台自有的系统进行回测，最后得到对冲掉BETA后的回测报告（基准为中证500）。要求构建量化模型时模型训练集数据不少于4年，测试集数据不小于1年，调仓频率小于20天，对冲后年化单利收益/最大回撤比&gt;=3，不限制资金使用比率。</w:t>
      </w:r>
    </w:p>
    <w:p>
      <w:pPr>
        <w:spacing w:before="156" w:beforeLines="50"/>
        <w:ind w:firstLine="480" w:firstLineChars="200"/>
        <w:rPr>
          <w:rFonts w:asciiTheme="minorEastAsia" w:hAnsiTheme="minorEastAsia"/>
          <w:sz w:val="24"/>
        </w:rPr>
      </w:pPr>
      <w:r>
        <w:rPr>
          <w:rFonts w:hint="eastAsia" w:asciiTheme="minorEastAsia" w:hAnsiTheme="minorEastAsia"/>
          <w:sz w:val="24"/>
        </w:rPr>
        <w:t>数据来源：</w:t>
      </w:r>
    </w:p>
    <w:p>
      <w:pPr>
        <w:spacing w:before="156" w:beforeLines="50"/>
        <w:ind w:left="1260" w:firstLine="480" w:firstLineChars="200"/>
        <w:rPr>
          <w:rFonts w:asciiTheme="minorEastAsia" w:hAnsiTheme="minorEastAsia"/>
          <w:sz w:val="24"/>
        </w:rPr>
      </w:pPr>
      <w:r>
        <w:rPr>
          <w:rFonts w:hint="eastAsia" w:asciiTheme="minorEastAsia" w:hAnsiTheme="minorEastAsia"/>
          <w:sz w:val="24"/>
        </w:rPr>
        <w:t>参考数据获取文档使用说明中的：（1）、（2）、（7）、（11）（13）、（14）或者其他数据来源</w:t>
      </w:r>
    </w:p>
    <w:p>
      <w:pPr>
        <w:spacing w:before="156" w:beforeLines="50"/>
        <w:ind w:firstLine="480" w:firstLineChars="200"/>
        <w:rPr>
          <w:rFonts w:asciiTheme="minorEastAsia" w:hAnsiTheme="minorEastAsia"/>
          <w:sz w:val="24"/>
        </w:rPr>
      </w:pPr>
      <w:r>
        <w:rPr>
          <w:rFonts w:hint="eastAsia" w:asciiTheme="minorEastAsia" w:hAnsiTheme="minorEastAsia"/>
          <w:sz w:val="24"/>
        </w:rPr>
        <w:t>参考资料：</w:t>
      </w:r>
    </w:p>
    <w:p>
      <w:pPr>
        <w:spacing w:before="156" w:beforeLines="50"/>
        <w:ind w:left="1200" w:firstLine="480" w:firstLineChars="200"/>
        <w:rPr>
          <w:rFonts w:asciiTheme="minorEastAsia" w:hAnsiTheme="minorEastAsia"/>
          <w:sz w:val="24"/>
        </w:rPr>
      </w:pPr>
      <w:r>
        <w:rPr>
          <w:rFonts w:hint="eastAsia" w:asciiTheme="minorEastAsia" w:hAnsiTheme="minorEastAsia"/>
          <w:sz w:val="24"/>
        </w:rPr>
        <w:t>量化投资以Matlab为工具</w:t>
      </w:r>
    </w:p>
    <w:p>
      <w:pPr>
        <w:spacing w:before="156" w:beforeLines="50"/>
        <w:ind w:left="1200" w:firstLine="480" w:firstLineChars="200"/>
        <w:rPr>
          <w:rFonts w:asciiTheme="minorEastAsia" w:hAnsiTheme="minorEastAsia"/>
          <w:sz w:val="24"/>
        </w:rPr>
      </w:pPr>
      <w:r>
        <w:rPr>
          <w:rFonts w:hint="eastAsia" w:asciiTheme="minorEastAsia" w:hAnsiTheme="minorEastAsia"/>
          <w:sz w:val="24"/>
        </w:rPr>
        <w:t>https://www.joinquant.com/study?f=home&amp;m=memu</w:t>
      </w:r>
    </w:p>
    <w:p>
      <w:pPr>
        <w:spacing w:before="156" w:beforeLines="50"/>
        <w:ind w:firstLine="480" w:firstLineChars="200"/>
        <w:rPr>
          <w:rFonts w:asciiTheme="minorEastAsia" w:hAnsiTheme="minorEastAsia"/>
          <w:sz w:val="24"/>
        </w:rPr>
      </w:pPr>
      <w:r>
        <w:rPr>
          <w:rFonts w:hint="eastAsia" w:asciiTheme="minorEastAsia" w:hAnsiTheme="minorEastAsia"/>
          <w:sz w:val="24"/>
        </w:rPr>
        <w:t>4、构建宏观对冲模型</w:t>
      </w:r>
    </w:p>
    <w:p>
      <w:pPr>
        <w:spacing w:before="156" w:beforeLines="50"/>
        <w:ind w:firstLine="480" w:firstLineChars="200"/>
        <w:rPr>
          <w:rFonts w:asciiTheme="minorEastAsia" w:hAnsiTheme="minorEastAsia"/>
          <w:sz w:val="24"/>
        </w:rPr>
      </w:pPr>
      <w:r>
        <w:rPr>
          <w:rFonts w:hint="eastAsia" w:asciiTheme="minorEastAsia" w:hAnsiTheme="minorEastAsia"/>
          <w:sz w:val="24"/>
        </w:rPr>
        <w:t>简介：宏观对冲交易是行情相关的两类品种同时进行交易，一类做多，一类做空。</w:t>
      </w:r>
    </w:p>
    <w:p>
      <w:pPr>
        <w:spacing w:before="156" w:beforeLines="50"/>
        <w:ind w:firstLine="480" w:firstLineChars="200"/>
        <w:rPr>
          <w:rFonts w:asciiTheme="minorEastAsia" w:hAnsiTheme="minorEastAsia"/>
          <w:sz w:val="24"/>
        </w:rPr>
      </w:pPr>
      <w:r>
        <w:rPr>
          <w:rFonts w:hint="eastAsia" w:asciiTheme="minorEastAsia" w:hAnsiTheme="minorEastAsia"/>
          <w:sz w:val="24"/>
        </w:rPr>
        <w:t>行情相关是指在宏观经济，金融环境发生改变时，两类品种的走势大致相同。</w:t>
      </w:r>
    </w:p>
    <w:p>
      <w:pPr>
        <w:spacing w:before="156" w:beforeLines="50"/>
        <w:ind w:firstLine="480" w:firstLineChars="200"/>
        <w:rPr>
          <w:rFonts w:asciiTheme="minorEastAsia" w:hAnsiTheme="minorEastAsia"/>
          <w:sz w:val="24"/>
        </w:rPr>
      </w:pPr>
      <w:r>
        <w:rPr>
          <w:rFonts w:hint="eastAsia" w:asciiTheme="minorEastAsia" w:hAnsiTheme="minorEastAsia"/>
          <w:sz w:val="24"/>
        </w:rPr>
        <w:t>对冲，是套利的扩展升级，体现在以下几点：</w:t>
      </w:r>
    </w:p>
    <w:p>
      <w:pPr>
        <w:spacing w:before="156" w:beforeLines="50"/>
        <w:ind w:firstLine="480" w:firstLineChars="200"/>
        <w:rPr>
          <w:rFonts w:asciiTheme="minorEastAsia" w:hAnsiTheme="minorEastAsia"/>
          <w:sz w:val="24"/>
        </w:rPr>
      </w:pPr>
      <w:r>
        <w:rPr>
          <w:rFonts w:hint="eastAsia" w:asciiTheme="minorEastAsia" w:hAnsiTheme="minorEastAsia"/>
          <w:sz w:val="24"/>
        </w:rPr>
        <w:t>1、对冲交易是一篮子合约，对另外一篮子合约，风险被充分分散，能够避传统套利在极端条件下的价差不回归的劈腿现象。</w:t>
      </w:r>
    </w:p>
    <w:p>
      <w:pPr>
        <w:spacing w:before="156" w:beforeLines="50"/>
        <w:ind w:firstLine="480" w:firstLineChars="200"/>
        <w:rPr>
          <w:rFonts w:asciiTheme="minorEastAsia" w:hAnsiTheme="minorEastAsia"/>
          <w:sz w:val="24"/>
        </w:rPr>
      </w:pPr>
      <w:r>
        <w:rPr>
          <w:rFonts w:hint="eastAsia" w:asciiTheme="minorEastAsia" w:hAnsiTheme="minorEastAsia"/>
          <w:sz w:val="24"/>
        </w:rPr>
        <w:t>2、比传统套利更便于做程序化，模型里可以引用理论收益，来控制加仓和减仓。</w:t>
      </w:r>
    </w:p>
    <w:p>
      <w:pPr>
        <w:spacing w:before="156" w:beforeLines="50"/>
        <w:ind w:firstLine="480" w:firstLineChars="200"/>
        <w:rPr>
          <w:rFonts w:asciiTheme="minorEastAsia" w:hAnsiTheme="minorEastAsia"/>
          <w:sz w:val="24"/>
        </w:rPr>
      </w:pPr>
      <w:r>
        <w:rPr>
          <w:rFonts w:hint="eastAsia" w:asciiTheme="minorEastAsia" w:hAnsiTheme="minorEastAsia"/>
          <w:sz w:val="24"/>
        </w:rPr>
        <w:t>3、比阿尔法套利的行情适应性更强，在熊市也能通过动态方法盈利。</w:t>
      </w:r>
    </w:p>
    <w:p>
      <w:pPr>
        <w:spacing w:before="156" w:beforeLines="50"/>
        <w:ind w:firstLine="480" w:firstLineChars="200"/>
        <w:rPr>
          <w:rFonts w:asciiTheme="minorEastAsia" w:hAnsiTheme="minorEastAsia"/>
          <w:sz w:val="24"/>
        </w:rPr>
      </w:pPr>
      <w:r>
        <w:rPr>
          <w:rFonts w:hint="eastAsia" w:asciiTheme="minorEastAsia" w:hAnsiTheme="minorEastAsia"/>
          <w:sz w:val="24"/>
        </w:rPr>
        <w:t>该方向要求建模人员有一定的经济学基础，建模平台matlab+wind/文华</w:t>
      </w:r>
    </w:p>
    <w:p>
      <w:pPr>
        <w:spacing w:before="156" w:beforeLines="50"/>
        <w:ind w:firstLine="480" w:firstLineChars="200"/>
        <w:rPr>
          <w:rFonts w:asciiTheme="minorEastAsia" w:hAnsiTheme="minorEastAsia"/>
          <w:sz w:val="24"/>
        </w:rPr>
      </w:pPr>
      <w:r>
        <w:rPr>
          <w:rFonts w:hint="eastAsia" w:asciiTheme="minorEastAsia" w:hAnsiTheme="minorEastAsia"/>
          <w:sz w:val="24"/>
        </w:rPr>
        <w:t>比赛要求：本次比赛宏观对冲方向限定为大宗商品类的宏观对冲模型，可选择静态对冲和动态对冲两种对冲方式（可以跨市场），要求参赛者提供详细的策略逻辑说明和回测报告，量化平台不限。</w:t>
      </w:r>
    </w:p>
    <w:p>
      <w:pPr>
        <w:spacing w:before="156" w:beforeLines="50"/>
        <w:ind w:firstLine="480" w:firstLineChars="200"/>
        <w:rPr>
          <w:rFonts w:asciiTheme="minorEastAsia" w:hAnsiTheme="minorEastAsia"/>
          <w:sz w:val="24"/>
        </w:rPr>
      </w:pPr>
      <w:r>
        <w:rPr>
          <w:rFonts w:hint="eastAsia" w:asciiTheme="minorEastAsia" w:hAnsiTheme="minorEastAsia"/>
          <w:sz w:val="24"/>
        </w:rPr>
        <w:t>数据来源：</w:t>
      </w:r>
    </w:p>
    <w:p>
      <w:pPr>
        <w:spacing w:before="156" w:beforeLines="50"/>
        <w:ind w:left="1200" w:firstLine="480" w:firstLineChars="200"/>
        <w:rPr>
          <w:rFonts w:asciiTheme="minorEastAsia" w:hAnsiTheme="minorEastAsia"/>
          <w:sz w:val="24"/>
        </w:rPr>
      </w:pPr>
      <w:r>
        <w:rPr>
          <w:rFonts w:hint="eastAsia" w:asciiTheme="minorEastAsia" w:hAnsiTheme="minorEastAsia"/>
          <w:sz w:val="24"/>
        </w:rPr>
        <w:t>参考数据获取文档使用说明中的：（13）或者其他数据来源</w:t>
      </w:r>
    </w:p>
    <w:p>
      <w:pPr>
        <w:spacing w:before="156" w:beforeLines="50"/>
        <w:ind w:firstLine="480" w:firstLineChars="200"/>
        <w:rPr>
          <w:rFonts w:asciiTheme="minorEastAsia" w:hAnsiTheme="minorEastAsia"/>
          <w:sz w:val="24"/>
        </w:rPr>
      </w:pPr>
      <w:r>
        <w:rPr>
          <w:rFonts w:hint="eastAsia" w:asciiTheme="minorEastAsia" w:hAnsiTheme="minorEastAsia"/>
          <w:sz w:val="24"/>
        </w:rPr>
        <w:t>参考资料：</w:t>
      </w:r>
    </w:p>
    <w:p>
      <w:pPr>
        <w:spacing w:before="156" w:beforeLines="50"/>
        <w:ind w:left="1620" w:firstLine="60" w:firstLineChars="25"/>
        <w:rPr>
          <w:rFonts w:asciiTheme="minorEastAsia" w:hAnsiTheme="minorEastAsia"/>
          <w:sz w:val="24"/>
        </w:rPr>
      </w:pPr>
      <w:r>
        <w:rPr>
          <w:rFonts w:hint="eastAsia" w:asciiTheme="minorEastAsia" w:hAnsiTheme="minorEastAsia"/>
          <w:sz w:val="24"/>
        </w:rPr>
        <w:t>互联网资源</w:t>
      </w:r>
    </w:p>
    <w:p>
      <w:pPr>
        <w:pStyle w:val="11"/>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 xml:space="preserve">比赛流程  </w:t>
      </w:r>
    </w:p>
    <w:p>
      <w:pPr>
        <w:spacing w:before="156" w:beforeLines="50"/>
        <w:ind w:firstLine="480" w:firstLineChars="200"/>
        <w:rPr>
          <w:rFonts w:asciiTheme="minorEastAsia" w:hAnsiTheme="minorEastAsia"/>
          <w:sz w:val="24"/>
        </w:rPr>
      </w:pPr>
      <w:r>
        <w:rPr>
          <w:rFonts w:hint="eastAsia" w:asciiTheme="minorEastAsia" w:hAnsiTheme="minorEastAsia"/>
          <w:sz w:val="24"/>
        </w:rPr>
        <w:t>（一）第一阶段：报名和作品提交</w:t>
      </w:r>
    </w:p>
    <w:p>
      <w:pPr>
        <w:spacing w:before="156" w:beforeLines="50"/>
        <w:ind w:firstLine="480" w:firstLineChars="200"/>
        <w:rPr>
          <w:rFonts w:asciiTheme="minorEastAsia" w:hAnsiTheme="minorEastAsia"/>
          <w:sz w:val="24"/>
        </w:rPr>
      </w:pPr>
      <w:r>
        <w:rPr>
          <w:rFonts w:hint="eastAsia" w:asciiTheme="minorEastAsia" w:hAnsiTheme="minorEastAsia"/>
          <w:sz w:val="24"/>
        </w:rPr>
        <w:t>报名截止时间：2017年6月</w:t>
      </w:r>
      <w:r>
        <w:rPr>
          <w:rFonts w:hint="eastAsia" w:asciiTheme="minorEastAsia" w:hAnsiTheme="minorEastAsia"/>
          <w:sz w:val="24"/>
          <w:lang w:val="en-US" w:eastAsia="zh-CN"/>
        </w:rPr>
        <w:t>24</w:t>
      </w:r>
      <w:bookmarkStart w:id="0" w:name="_GoBack"/>
      <w:bookmarkEnd w:id="0"/>
      <w:r>
        <w:rPr>
          <w:rFonts w:hint="eastAsia" w:asciiTheme="minorEastAsia" w:hAnsiTheme="minorEastAsia"/>
          <w:sz w:val="24"/>
        </w:rPr>
        <w:t xml:space="preserve">日 </w:t>
      </w:r>
    </w:p>
    <w:p>
      <w:pPr>
        <w:spacing w:before="156" w:beforeLines="50"/>
        <w:ind w:firstLine="480" w:firstLineChars="200"/>
        <w:rPr>
          <w:rFonts w:asciiTheme="minorEastAsia" w:hAnsiTheme="minorEastAsia"/>
          <w:sz w:val="24"/>
        </w:rPr>
      </w:pPr>
      <w:r>
        <w:rPr>
          <w:rFonts w:hint="eastAsia" w:asciiTheme="minorEastAsia" w:hAnsiTheme="minorEastAsia"/>
          <w:sz w:val="24"/>
        </w:rPr>
        <w:t>提交作品截止时间：2017年10月15日</w:t>
      </w:r>
    </w:p>
    <w:p>
      <w:pPr>
        <w:spacing w:before="156" w:beforeLines="50"/>
        <w:ind w:firstLine="480" w:firstLineChars="200"/>
        <w:rPr>
          <w:rFonts w:asciiTheme="minorEastAsia" w:hAnsiTheme="minorEastAsia"/>
          <w:sz w:val="24"/>
        </w:rPr>
      </w:pPr>
      <w:r>
        <w:rPr>
          <w:rFonts w:hint="eastAsia" w:asciiTheme="minorEastAsia" w:hAnsiTheme="minorEastAsia"/>
          <w:sz w:val="24"/>
        </w:rPr>
        <w:t>初赛阶段参赛选手需要提供以下文档：</w:t>
      </w:r>
    </w:p>
    <w:p>
      <w:pPr>
        <w:spacing w:before="156" w:beforeLines="50"/>
        <w:ind w:firstLine="480" w:firstLineChars="200"/>
        <w:rPr>
          <w:rFonts w:asciiTheme="minorEastAsia" w:hAnsiTheme="minorEastAsia"/>
          <w:sz w:val="24"/>
        </w:rPr>
      </w:pPr>
      <w:r>
        <w:rPr>
          <w:rFonts w:hint="eastAsia" w:asciiTheme="minorEastAsia" w:hAnsiTheme="minorEastAsia"/>
          <w:sz w:val="24"/>
        </w:rPr>
        <w:t>1、详细的回测报告（可提交量化平台自动生成的回测报告）</w:t>
      </w:r>
    </w:p>
    <w:p>
      <w:pPr>
        <w:spacing w:before="156" w:beforeLines="50"/>
        <w:ind w:firstLine="480" w:firstLineChars="200"/>
        <w:rPr>
          <w:rFonts w:asciiTheme="minorEastAsia" w:hAnsiTheme="minorEastAsia"/>
          <w:sz w:val="24"/>
        </w:rPr>
      </w:pPr>
      <w:r>
        <w:rPr>
          <w:rFonts w:hint="eastAsia" w:asciiTheme="minorEastAsia" w:hAnsiTheme="minorEastAsia"/>
          <w:sz w:val="24"/>
        </w:rPr>
        <w:t>2、量化模型设计逻辑说明（pdf文档）</w:t>
      </w:r>
    </w:p>
    <w:p>
      <w:pPr>
        <w:spacing w:before="156" w:beforeLines="50"/>
        <w:ind w:firstLine="480" w:firstLineChars="200"/>
        <w:rPr>
          <w:rFonts w:asciiTheme="minorEastAsia" w:hAnsiTheme="minorEastAsia"/>
          <w:sz w:val="24"/>
        </w:rPr>
      </w:pPr>
      <w:r>
        <w:rPr>
          <w:rFonts w:hint="eastAsia" w:asciiTheme="minorEastAsia" w:hAnsiTheme="minorEastAsia"/>
          <w:sz w:val="24"/>
        </w:rPr>
        <w:t>3、源代码(word文档)</w:t>
      </w:r>
    </w:p>
    <w:p>
      <w:pPr>
        <w:spacing w:before="156" w:beforeLines="50"/>
        <w:ind w:firstLine="480" w:firstLineChars="200"/>
        <w:rPr>
          <w:rFonts w:asciiTheme="minorEastAsia" w:hAnsiTheme="minorEastAsia"/>
          <w:sz w:val="24"/>
        </w:rPr>
      </w:pPr>
      <w:r>
        <w:rPr>
          <w:rFonts w:hint="eastAsia" w:asciiTheme="minorEastAsia" w:hAnsiTheme="minorEastAsia"/>
          <w:sz w:val="24"/>
        </w:rPr>
        <w:t>4、调仓记录和持仓记录/信号记录</w:t>
      </w:r>
    </w:p>
    <w:p>
      <w:pPr>
        <w:spacing w:before="156" w:beforeLines="50"/>
        <w:ind w:firstLine="480" w:firstLineChars="200"/>
        <w:rPr>
          <w:rFonts w:asciiTheme="minorEastAsia" w:hAnsiTheme="minorEastAsia"/>
          <w:sz w:val="24"/>
        </w:rPr>
      </w:pPr>
      <w:r>
        <w:rPr>
          <w:rFonts w:hint="eastAsia" w:asciiTheme="minorEastAsia" w:hAnsiTheme="minorEastAsia"/>
          <w:sz w:val="24"/>
        </w:rPr>
        <w:t>大赛组委会组织有关人员初审，初审合格后即分配给评审专家评审。</w:t>
      </w:r>
    </w:p>
    <w:p>
      <w:pPr>
        <w:spacing w:before="156" w:beforeLines="50"/>
        <w:ind w:firstLine="480" w:firstLineChars="200"/>
        <w:rPr>
          <w:rFonts w:asciiTheme="minorEastAsia" w:hAnsiTheme="minorEastAsia"/>
          <w:sz w:val="24"/>
        </w:rPr>
      </w:pPr>
      <w:r>
        <w:rPr>
          <w:rFonts w:hint="eastAsia" w:asciiTheme="minorEastAsia" w:hAnsiTheme="minorEastAsia"/>
          <w:sz w:val="24"/>
        </w:rPr>
        <w:t>（二）第二阶段：专家评审</w:t>
      </w:r>
    </w:p>
    <w:p>
      <w:pPr>
        <w:spacing w:before="156" w:beforeLines="50"/>
        <w:ind w:firstLine="480" w:firstLineChars="200"/>
        <w:rPr>
          <w:rFonts w:asciiTheme="minorEastAsia" w:hAnsiTheme="minorEastAsia"/>
          <w:sz w:val="24"/>
        </w:rPr>
      </w:pPr>
      <w:r>
        <w:rPr>
          <w:rFonts w:hint="eastAsia" w:asciiTheme="minorEastAsia" w:hAnsiTheme="minorEastAsia"/>
          <w:sz w:val="24"/>
        </w:rPr>
        <w:t>评审时间：2017年10月20日——25日</w:t>
      </w:r>
    </w:p>
    <w:p>
      <w:pPr>
        <w:spacing w:before="156" w:beforeLines="50"/>
        <w:ind w:firstLine="480" w:firstLineChars="200"/>
        <w:rPr>
          <w:rFonts w:asciiTheme="minorEastAsia" w:hAnsiTheme="minorEastAsia"/>
          <w:sz w:val="24"/>
        </w:rPr>
      </w:pPr>
      <w:r>
        <w:rPr>
          <w:rFonts w:hint="eastAsia" w:asciiTheme="minorEastAsia" w:hAnsiTheme="minorEastAsia"/>
          <w:sz w:val="24"/>
        </w:rPr>
        <w:t>大赛组委会组织评审专家对初审通过的作品进行评审，由评审专家打分，根据得分选出入围决赛的作品。</w:t>
      </w:r>
    </w:p>
    <w:p>
      <w:pPr>
        <w:spacing w:before="156" w:beforeLines="50"/>
        <w:ind w:firstLine="480" w:firstLineChars="200"/>
        <w:rPr>
          <w:rFonts w:asciiTheme="minorEastAsia" w:hAnsiTheme="minorEastAsia"/>
          <w:sz w:val="24"/>
        </w:rPr>
      </w:pPr>
      <w:r>
        <w:rPr>
          <w:rFonts w:hint="eastAsia" w:asciiTheme="minorEastAsia" w:hAnsiTheme="minorEastAsia"/>
          <w:sz w:val="24"/>
        </w:rPr>
        <w:t>（三）第三阶段：决赛</w:t>
      </w:r>
    </w:p>
    <w:p>
      <w:pPr>
        <w:spacing w:before="156" w:beforeLines="50"/>
        <w:ind w:firstLine="480" w:firstLineChars="200"/>
        <w:rPr>
          <w:rFonts w:asciiTheme="minorEastAsia" w:hAnsiTheme="minorEastAsia"/>
          <w:sz w:val="24"/>
        </w:rPr>
      </w:pPr>
      <w:r>
        <w:rPr>
          <w:rFonts w:hint="eastAsia" w:asciiTheme="minorEastAsia" w:hAnsiTheme="minorEastAsia"/>
          <w:sz w:val="24"/>
        </w:rPr>
        <w:t>在决赛现场对自己入围决赛的作品进行讲解说明，制作PPT文件并进行演示，时间10-15分钟，主要考核参赛选手的创新、创意能力，大赛组委会组织专家现场评审。</w:t>
      </w:r>
    </w:p>
    <w:p>
      <w:pPr>
        <w:pStyle w:val="11"/>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奖励办法</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rPr>
        <w:t>本次竞赛奖设一等奖两名，二等奖四名，三等奖八名，并颁发荣誉证书。</w:t>
      </w:r>
      <w:r>
        <w:rPr>
          <w:rFonts w:hint="eastAsia" w:asciiTheme="minorEastAsia" w:hAnsiTheme="minorEastAsia"/>
          <w:sz w:val="24"/>
          <w:szCs w:val="24"/>
        </w:rPr>
        <w:t>若参赛</w:t>
      </w:r>
      <w:r>
        <w:rPr>
          <w:rFonts w:hint="eastAsia" w:asciiTheme="minorEastAsia" w:hAnsiTheme="minorEastAsia"/>
          <w:sz w:val="24"/>
          <w:szCs w:val="24"/>
          <w:lang w:eastAsia="zh-CN"/>
        </w:rPr>
        <w:t>人数</w:t>
      </w:r>
      <w:r>
        <w:rPr>
          <w:rFonts w:hint="eastAsia" w:asciiTheme="minorEastAsia" w:hAnsiTheme="minorEastAsia"/>
          <w:sz w:val="24"/>
          <w:szCs w:val="24"/>
        </w:rPr>
        <w:t>少于</w:t>
      </w:r>
      <w:r>
        <w:rPr>
          <w:rFonts w:hint="eastAsia" w:asciiTheme="minorEastAsia" w:hAnsiTheme="minorEastAsia"/>
          <w:sz w:val="24"/>
          <w:szCs w:val="24"/>
          <w:lang w:val="en-US" w:eastAsia="zh-CN"/>
        </w:rPr>
        <w:t>1</w:t>
      </w:r>
      <w:r>
        <w:rPr>
          <w:rFonts w:hint="eastAsia" w:asciiTheme="minorEastAsia" w:hAnsiTheme="minorEastAsia"/>
          <w:sz w:val="24"/>
          <w:szCs w:val="24"/>
        </w:rPr>
        <w:t>5</w:t>
      </w:r>
      <w:r>
        <w:rPr>
          <w:rFonts w:hint="eastAsia" w:asciiTheme="minorEastAsia" w:hAnsiTheme="minorEastAsia"/>
          <w:sz w:val="24"/>
          <w:szCs w:val="24"/>
          <w:lang w:eastAsia="zh-CN"/>
        </w:rPr>
        <w:t>名</w:t>
      </w:r>
      <w:r>
        <w:rPr>
          <w:rFonts w:hint="eastAsia" w:asciiTheme="minorEastAsia" w:hAnsiTheme="minorEastAsia"/>
          <w:sz w:val="24"/>
          <w:szCs w:val="24"/>
        </w:rPr>
        <w:t>，竞赛组委会视情况有权取消本竞赛活动。</w:t>
      </w:r>
    </w:p>
    <w:p>
      <w:pPr>
        <w:spacing w:before="156" w:beforeLines="50"/>
        <w:ind w:firstLine="480" w:firstLineChars="200"/>
        <w:rPr>
          <w:rFonts w:asciiTheme="minorEastAsia" w:hAnsiTheme="minorEastAsia"/>
          <w:sz w:val="24"/>
        </w:rPr>
      </w:pPr>
    </w:p>
    <w:p>
      <w:pPr>
        <w:spacing w:before="156" w:beforeLines="50"/>
        <w:ind w:firstLine="480" w:firstLineChars="200"/>
        <w:rPr>
          <w:rFonts w:asciiTheme="minorEastAsia" w:hAnsiTheme="minorEastAsia"/>
          <w:sz w:val="24"/>
        </w:rPr>
      </w:pPr>
    </w:p>
    <w:p>
      <w:pPr>
        <w:spacing w:before="156" w:beforeLines="50" w:line="288" w:lineRule="auto"/>
        <w:ind w:firstLine="480"/>
        <w:jc w:val="left"/>
        <w:rPr>
          <w:rFonts w:ascii="宋体" w:hAnsi="宋体" w:eastAsia="宋体" w:cs="宋体"/>
          <w:color w:val="000000"/>
          <w:sz w:val="24"/>
          <w:shd w:val="clear" w:color="auto" w:fill="FFFFFF"/>
        </w:rPr>
      </w:pPr>
    </w:p>
    <w:p>
      <w:pPr>
        <w:spacing w:before="156" w:beforeLines="50"/>
        <w:ind w:firstLine="480" w:firstLineChars="200"/>
        <w:rPr>
          <w:rFonts w:asciiTheme="minorEastAsia" w:hAnsiTheme="minorEastAsia"/>
          <w:sz w:val="24"/>
        </w:rPr>
      </w:pPr>
      <w:r>
        <w:rPr>
          <w:rFonts w:hint="eastAsia"/>
          <w:sz w:val="24"/>
        </w:rPr>
        <w:t xml:space="preserve">                                   </w:t>
      </w:r>
      <w:r>
        <w:rPr>
          <w:rFonts w:hint="eastAsia" w:asciiTheme="minorEastAsia" w:hAnsiTheme="minorEastAsia"/>
          <w:sz w:val="24"/>
        </w:rPr>
        <w:t>山东财经大学计算机文化节组委会</w:t>
      </w:r>
    </w:p>
    <w:p>
      <w:pPr>
        <w:spacing w:before="156" w:beforeLines="50"/>
        <w:ind w:firstLine="480" w:firstLineChars="200"/>
        <w:rPr>
          <w:sz w:val="24"/>
        </w:rPr>
      </w:pPr>
      <w:r>
        <w:rPr>
          <w:rFonts w:hint="eastAsia" w:asciiTheme="minorEastAsia" w:hAnsiTheme="minorEastAsia"/>
          <w:sz w:val="24"/>
        </w:rPr>
        <w:t xml:space="preserve"> </w:t>
      </w:r>
      <w:r>
        <w:rPr>
          <w:rFonts w:hint="eastAsia" w:asciiTheme="minorEastAsia" w:hAnsiTheme="minorEastAsia"/>
          <w:sz w:val="24"/>
        </w:rPr>
        <w:tab/>
      </w:r>
      <w:r>
        <w:rPr>
          <w:rFonts w:hint="eastAsia" w:asciiTheme="minorEastAsia" w:hAnsiTheme="minorEastAsia"/>
          <w:sz w:val="24"/>
        </w:rPr>
        <w:t xml:space="preserve">                                      </w:t>
      </w:r>
      <w:r>
        <w:rPr>
          <w:rFonts w:hint="eastAsia" w:asciiTheme="minorEastAsia" w:hAnsiTheme="minorEastAsia"/>
          <w:sz w:val="24"/>
          <w:lang w:val="en-US" w:eastAsia="zh-CN"/>
        </w:rPr>
        <w:t xml:space="preserve"> </w:t>
      </w:r>
      <w:r>
        <w:rPr>
          <w:rFonts w:hint="eastAsia" w:asciiTheme="minorEastAsia" w:hAnsiTheme="minorEastAsia"/>
          <w:sz w:val="24"/>
        </w:rPr>
        <w:t xml:space="preserve"> </w:t>
      </w:r>
      <w:r>
        <w:rPr>
          <w:rFonts w:hint="eastAsia" w:asciiTheme="minorEastAsia" w:hAnsiTheme="minorEastAsia"/>
          <w:b w:val="0"/>
          <w:bCs w:val="0"/>
          <w:sz w:val="24"/>
        </w:rPr>
        <w:t>2017年</w:t>
      </w:r>
      <w:r>
        <w:rPr>
          <w:rFonts w:hint="eastAsia" w:asciiTheme="minorEastAsia" w:hAnsiTheme="minorEastAsia"/>
          <w:b w:val="0"/>
          <w:bCs w:val="0"/>
          <w:sz w:val="24"/>
          <w:lang w:val="en-US" w:eastAsia="zh-CN"/>
        </w:rPr>
        <w:t>6</w:t>
      </w:r>
      <w:r>
        <w:rPr>
          <w:rFonts w:hint="eastAsia" w:asciiTheme="minorEastAsia" w:hAnsiTheme="minorEastAsia"/>
          <w:b w:val="0"/>
          <w:bCs w:val="0"/>
          <w:sz w:val="24"/>
        </w:rPr>
        <w:t>月1</w:t>
      </w:r>
      <w:r>
        <w:rPr>
          <w:rFonts w:hint="eastAsia" w:asciiTheme="minorEastAsia" w:hAnsiTheme="minorEastAsia"/>
          <w:b w:val="0"/>
          <w:bCs w:val="0"/>
          <w:sz w:val="24"/>
          <w:lang w:val="en-US" w:eastAsia="zh-CN"/>
        </w:rPr>
        <w:t>3</w:t>
      </w:r>
      <w:r>
        <w:rPr>
          <w:rFonts w:hint="eastAsia" w:asciiTheme="minorEastAsia" w:hAnsiTheme="minorEastAsia"/>
          <w:b w:val="0"/>
          <w:bCs w:val="0"/>
          <w:sz w:val="24"/>
          <w:lang w:eastAsia="zh-CN"/>
        </w:rPr>
        <w:t>日</w:t>
      </w:r>
    </w:p>
    <w:sectPr>
      <w:pgSz w:w="11906" w:h="16838"/>
      <w:pgMar w:top="1440" w:right="1133"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PMingLiU">
    <w:panose1 w:val="02020500000000000000"/>
    <w:charset w:val="88"/>
    <w:family w:val="auto"/>
    <w:pitch w:val="default"/>
    <w:sig w:usb0="A00002FF" w:usb1="28CFFCFA" w:usb2="00000016" w:usb3="00000000" w:csb0="00100001" w:csb1="00000000"/>
  </w:font>
  <w:font w:name="MT Extra">
    <w:panose1 w:val="05050102010205020202"/>
    <w:charset w:val="00"/>
    <w:family w:val="auto"/>
    <w:pitch w:val="default"/>
    <w:sig w:usb0="80000000" w:usb1="00000000" w:usb2="00000000" w:usb3="00000000" w:csb0="00000000" w:csb1="00000000"/>
  </w:font>
  <w:font w:name="Microsoft Sans Serif">
    <w:panose1 w:val="020B0604020202020204"/>
    <w:charset w:val="00"/>
    <w:family w:val="auto"/>
    <w:pitch w:val="default"/>
    <w:sig w:usb0="E1002AFF" w:usb1="C0000002" w:usb2="00000008" w:usb3="00000000" w:csb0="200101FF" w:csb1="2028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Verdana">
    <w:panose1 w:val="020B0604030504040204"/>
    <w:charset w:val="00"/>
    <w:family w:val="swiss"/>
    <w:pitch w:val="default"/>
    <w:sig w:usb0="A10006FF" w:usb1="4000205B" w:usb2="00000010" w:usb3="00000000" w:csb0="2000019F" w:csb1="00000000"/>
  </w:font>
  <w:font w:name="MT Extra">
    <w:panose1 w:val="05050102010205020202"/>
    <w:charset w:val="02"/>
    <w:family w:val="auto"/>
    <w:pitch w:val="default"/>
    <w:sig w:usb0="8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103C"/>
    <w:multiLevelType w:val="multilevel"/>
    <w:tmpl w:val="0432103C"/>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59226120"/>
    <w:multiLevelType w:val="singleLevel"/>
    <w:tmpl w:val="59226120"/>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182813"/>
    <w:rsid w:val="00030577"/>
    <w:rsid w:val="000A202A"/>
    <w:rsid w:val="002014C4"/>
    <w:rsid w:val="002E00DE"/>
    <w:rsid w:val="00336C96"/>
    <w:rsid w:val="003F41DE"/>
    <w:rsid w:val="005D672F"/>
    <w:rsid w:val="006F6A89"/>
    <w:rsid w:val="00710996"/>
    <w:rsid w:val="00711728"/>
    <w:rsid w:val="00946601"/>
    <w:rsid w:val="00E63280"/>
    <w:rsid w:val="00F63928"/>
    <w:rsid w:val="041118A5"/>
    <w:rsid w:val="053630A6"/>
    <w:rsid w:val="08862257"/>
    <w:rsid w:val="1DBC33BB"/>
    <w:rsid w:val="235B2985"/>
    <w:rsid w:val="27AC7F6A"/>
    <w:rsid w:val="3C182813"/>
    <w:rsid w:val="54FC6FED"/>
    <w:rsid w:val="5709653B"/>
    <w:rsid w:val="57830A37"/>
    <w:rsid w:val="6B462ADD"/>
    <w:rsid w:val="6E905122"/>
    <w:rsid w:val="7E143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alloon Text"/>
    <w:basedOn w:val="1"/>
    <w:link w:val="14"/>
    <w:qFormat/>
    <w:uiPriority w:val="0"/>
    <w:rPr>
      <w:sz w:val="18"/>
      <w:szCs w:val="18"/>
    </w:rPr>
  </w:style>
  <w:style w:type="paragraph" w:styleId="5">
    <w:name w:val="footer"/>
    <w:basedOn w:val="1"/>
    <w:link w:val="19"/>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basedOn w:val="7"/>
    <w:qFormat/>
    <w:uiPriority w:val="0"/>
    <w:rPr>
      <w:color w:val="0000FF"/>
      <w:u w:val="single"/>
    </w:rPr>
  </w:style>
  <w:style w:type="character" w:styleId="9">
    <w:name w:val="annotation reference"/>
    <w:basedOn w:val="7"/>
    <w:qFormat/>
    <w:uiPriority w:val="0"/>
    <w:rPr>
      <w:sz w:val="21"/>
      <w:szCs w:val="21"/>
    </w:rPr>
  </w:style>
  <w:style w:type="paragraph" w:customStyle="1" w:styleId="11">
    <w:name w:val="列出段落1"/>
    <w:basedOn w:val="1"/>
    <w:qFormat/>
    <w:uiPriority w:val="34"/>
    <w:pPr>
      <w:ind w:firstLine="420" w:firstLineChars="200"/>
    </w:pPr>
  </w:style>
  <w:style w:type="character" w:customStyle="1" w:styleId="12">
    <w:name w:val="批注文字 字符"/>
    <w:basedOn w:val="7"/>
    <w:link w:val="3"/>
    <w:qFormat/>
    <w:uiPriority w:val="0"/>
    <w:rPr>
      <w:rFonts w:asciiTheme="minorHAnsi" w:hAnsiTheme="minorHAnsi" w:eastAsiaTheme="minorEastAsia" w:cstheme="minorBidi"/>
      <w:kern w:val="2"/>
      <w:sz w:val="21"/>
      <w:szCs w:val="24"/>
    </w:rPr>
  </w:style>
  <w:style w:type="character" w:customStyle="1" w:styleId="13">
    <w:name w:val="批注主题 字符"/>
    <w:basedOn w:val="12"/>
    <w:link w:val="2"/>
    <w:qFormat/>
    <w:uiPriority w:val="0"/>
    <w:rPr>
      <w:rFonts w:asciiTheme="minorHAnsi" w:hAnsiTheme="minorHAnsi" w:eastAsiaTheme="minorEastAsia" w:cstheme="minorBidi"/>
      <w:b/>
      <w:bCs/>
      <w:kern w:val="2"/>
      <w:sz w:val="21"/>
      <w:szCs w:val="24"/>
    </w:rPr>
  </w:style>
  <w:style w:type="character" w:customStyle="1" w:styleId="14">
    <w:name w:val="批注框文本 字符"/>
    <w:basedOn w:val="7"/>
    <w:link w:val="4"/>
    <w:qFormat/>
    <w:uiPriority w:val="0"/>
    <w:rPr>
      <w:rFonts w:asciiTheme="minorHAnsi" w:hAnsiTheme="minorHAnsi" w:eastAsiaTheme="minorEastAsia" w:cstheme="minorBidi"/>
      <w:kern w:val="2"/>
      <w:sz w:val="18"/>
      <w:szCs w:val="18"/>
    </w:rPr>
  </w:style>
  <w:style w:type="paragraph" w:customStyle="1" w:styleId="15">
    <w:name w:val="p15"/>
    <w:basedOn w:val="1"/>
    <w:qFormat/>
    <w:uiPriority w:val="0"/>
    <w:pPr>
      <w:widowControl/>
      <w:spacing w:before="100" w:after="100"/>
      <w:jc w:val="left"/>
    </w:pPr>
    <w:rPr>
      <w:kern w:val="0"/>
      <w:sz w:val="24"/>
    </w:rPr>
  </w:style>
  <w:style w:type="paragraph" w:customStyle="1" w:styleId="16">
    <w:name w:val="p0"/>
    <w:basedOn w:val="1"/>
    <w:qFormat/>
    <w:uiPriority w:val="0"/>
    <w:pPr>
      <w:widowControl/>
    </w:pPr>
    <w:rPr>
      <w:kern w:val="0"/>
      <w:szCs w:val="21"/>
    </w:rPr>
  </w:style>
  <w:style w:type="paragraph" w:customStyle="1" w:styleId="17">
    <w:name w:val="列出段落2"/>
    <w:basedOn w:val="1"/>
    <w:qFormat/>
    <w:uiPriority w:val="99"/>
    <w:pPr>
      <w:ind w:firstLine="420" w:firstLineChars="200"/>
    </w:pPr>
  </w:style>
  <w:style w:type="character" w:customStyle="1" w:styleId="18">
    <w:name w:val="页眉 字符"/>
    <w:basedOn w:val="7"/>
    <w:link w:val="6"/>
    <w:qFormat/>
    <w:uiPriority w:val="0"/>
    <w:rPr>
      <w:rFonts w:asciiTheme="minorHAnsi" w:hAnsiTheme="minorHAnsi" w:eastAsiaTheme="minorEastAsia" w:cstheme="minorBidi"/>
      <w:kern w:val="2"/>
      <w:sz w:val="18"/>
      <w:szCs w:val="18"/>
    </w:rPr>
  </w:style>
  <w:style w:type="character" w:customStyle="1" w:styleId="19">
    <w:name w:val="页脚 字符"/>
    <w:basedOn w:val="7"/>
    <w:link w:val="5"/>
    <w:qFormat/>
    <w:uiPriority w:val="0"/>
    <w:rPr>
      <w:rFonts w:asciiTheme="minorHAnsi" w:hAnsiTheme="minorHAnsi" w:eastAsiaTheme="minorEastAsia" w:cstheme="minorBidi"/>
      <w:kern w:val="2"/>
      <w:sz w:val="18"/>
      <w:szCs w:val="18"/>
    </w:rPr>
  </w:style>
  <w:style w:type="paragraph" w:customStyle="1"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465</Words>
  <Characters>2654</Characters>
  <Lines>22</Lines>
  <Paragraphs>6</Paragraphs>
  <ScaleCrop>false</ScaleCrop>
  <LinksUpToDate>false</LinksUpToDate>
  <CharactersWithSpaces>3113</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2017-05-15T01:41:00Z</dcterms:created>
  <dc:creator>lenovo</dc:creator>
  <cp:lastModifiedBy>lenovo</cp:lastModifiedBy>
  <dcterms:modified xsi:type="dcterms:W3CDTF">2017-06-13T03:13:37Z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