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/>
          <w:b/>
          <w:color w:val="333333"/>
          <w:sz w:val="28"/>
          <w:szCs w:val="28"/>
        </w:rPr>
        <w:t>2018</w:t>
      </w:r>
      <w:r>
        <w:rPr>
          <w:rFonts w:hint="eastAsia" w:asciiTheme="minorEastAsia" w:hAnsiTheme="minorEastAsia" w:cstheme="minorEastAsia"/>
          <w:b/>
          <w:color w:val="333333"/>
          <w:sz w:val="28"/>
          <w:szCs w:val="28"/>
        </w:rPr>
        <w:t>年度青年教师教学能力提升培训及师德师风培训名额分配表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333333"/>
        </w:rPr>
      </w:pPr>
    </w:p>
    <w:tbl>
      <w:tblPr>
        <w:tblStyle w:val="5"/>
        <w:tblW w:w="7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24"/>
        <w:gridCol w:w="229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28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教学能力提升培训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师德师风培训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经济学院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财政税务学院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金融学院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国际经贸学院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管理科学与工程学院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工商管理学院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会计学院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公共管理学院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马克思主义学院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体育学院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文学与新闻传播学院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外国语学院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公共外语教学部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数学与数量经济学院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统计学院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计算机科学与技术学院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艺术学院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</w:p>
        </w:tc>
        <w:tc>
          <w:tcPr>
            <w:tcW w:w="282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国际教育学院</w:t>
            </w:r>
          </w:p>
        </w:tc>
        <w:tc>
          <w:tcPr>
            <w:tcW w:w="22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21293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5C41"/>
    <w:rsid w:val="114D5C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n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2018-10-24T02:47:00Z</dcterms:created>
  <dc:creator>luxni</dc:creator>
  <cp:lastModifiedBy>luxni</cp:lastModifiedBy>
  <dcterms:modified xsi:type="dcterms:W3CDTF">2018-10-24T02:48:44Z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